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69EE" w14:textId="0A531B48" w:rsidR="007A6C4C" w:rsidRPr="00C9491B" w:rsidRDefault="000F1BC7" w:rsidP="00C94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Measurement and Control</w:t>
      </w:r>
      <w:r w:rsidR="00C9491B" w:rsidRPr="00C9491B">
        <w:rPr>
          <w:rFonts w:ascii="Times New Roman" w:hAnsi="Times New Roman" w:cs="Times New Roman"/>
          <w:b/>
          <w:bCs/>
          <w:sz w:val="24"/>
          <w:szCs w:val="24"/>
        </w:rPr>
        <w:t xml:space="preserve"> Engineering Requirements for direct B</w:t>
      </w:r>
      <w:r w:rsidR="00D22A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491B" w:rsidRPr="00C9491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22A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491B" w:rsidRPr="00C9491B">
        <w:rPr>
          <w:rFonts w:ascii="Times New Roman" w:hAnsi="Times New Roman" w:cs="Times New Roman"/>
          <w:b/>
          <w:bCs/>
          <w:sz w:val="24"/>
          <w:szCs w:val="24"/>
        </w:rPr>
        <w:t xml:space="preserve"> to Ph</w:t>
      </w:r>
      <w:r w:rsidR="00D22A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491B" w:rsidRPr="00C9491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22A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491B" w:rsidRPr="00C9491B">
        <w:rPr>
          <w:rFonts w:ascii="Times New Roman" w:hAnsi="Times New Roman" w:cs="Times New Roman"/>
          <w:b/>
          <w:bCs/>
          <w:sz w:val="24"/>
          <w:szCs w:val="24"/>
        </w:rPr>
        <w:t xml:space="preserve"> admission</w:t>
      </w:r>
    </w:p>
    <w:p w14:paraId="19831E2C" w14:textId="314A448A" w:rsidR="00C9491B" w:rsidRDefault="00C9491B" w:rsidP="00C949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91B">
        <w:rPr>
          <w:rFonts w:ascii="Times New Roman" w:hAnsi="Times New Roman" w:cs="Times New Roman"/>
          <w:b/>
          <w:bCs/>
          <w:sz w:val="24"/>
          <w:szCs w:val="24"/>
        </w:rPr>
        <w:t>Admission Requirements</w:t>
      </w:r>
    </w:p>
    <w:p w14:paraId="291E8D83" w14:textId="15AD0026" w:rsidR="00C9491B" w:rsidRDefault="00C9491B" w:rsidP="00C9491B">
      <w:pPr>
        <w:rPr>
          <w:rFonts w:ascii="Times New Roman" w:hAnsi="Times New Roman" w:cs="Times New Roman"/>
          <w:sz w:val="24"/>
          <w:szCs w:val="24"/>
        </w:rPr>
      </w:pPr>
      <w:r w:rsidRPr="00C9491B">
        <w:rPr>
          <w:rFonts w:ascii="Times New Roman" w:hAnsi="Times New Roman" w:cs="Times New Roman"/>
          <w:sz w:val="24"/>
          <w:szCs w:val="24"/>
        </w:rPr>
        <w:t xml:space="preserve">All applicants for the </w:t>
      </w:r>
      <w:r>
        <w:rPr>
          <w:rFonts w:ascii="Times New Roman" w:hAnsi="Times New Roman" w:cs="Times New Roman"/>
          <w:sz w:val="24"/>
          <w:szCs w:val="24"/>
        </w:rPr>
        <w:t xml:space="preserve">direct B.S. to Ph.D. program in </w:t>
      </w:r>
      <w:r w:rsidR="000F1BC7">
        <w:rPr>
          <w:rFonts w:ascii="Times New Roman" w:hAnsi="Times New Roman" w:cs="Times New Roman"/>
          <w:sz w:val="24"/>
          <w:szCs w:val="24"/>
        </w:rPr>
        <w:t xml:space="preserve">Measurement and Control </w:t>
      </w:r>
      <w:r w:rsidRPr="00C949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ngineering</w:t>
      </w:r>
      <w:r w:rsidRPr="00C9491B">
        <w:rPr>
          <w:rFonts w:ascii="Times New Roman" w:hAnsi="Times New Roman" w:cs="Times New Roman"/>
          <w:sz w:val="24"/>
          <w:szCs w:val="24"/>
        </w:rPr>
        <w:t xml:space="preserve"> must have a Bachelor of Science degree in engineering, physical sciences, mathematics or a closely related field, and must meet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Pr="00C9491B">
        <w:rPr>
          <w:rFonts w:ascii="Times New Roman" w:hAnsi="Times New Roman" w:cs="Times New Roman"/>
          <w:sz w:val="24"/>
          <w:szCs w:val="24"/>
        </w:rPr>
        <w:t xml:space="preserve"> Idaho State University Graduate School admission requirements. In addition, official Graduate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9491B">
        <w:rPr>
          <w:rFonts w:ascii="Times New Roman" w:hAnsi="Times New Roman" w:cs="Times New Roman"/>
          <w:sz w:val="24"/>
          <w:szCs w:val="24"/>
        </w:rPr>
        <w:t>ecord Examination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491B">
        <w:rPr>
          <w:rFonts w:ascii="Times New Roman" w:hAnsi="Times New Roman" w:cs="Times New Roman"/>
          <w:sz w:val="24"/>
          <w:szCs w:val="24"/>
        </w:rPr>
        <w:t xml:space="preserve"> (GRE) score reports are required for all applicants, with a score equal or above the upper </w:t>
      </w:r>
      <w:r w:rsidR="00775EFD">
        <w:rPr>
          <w:rFonts w:ascii="Times New Roman" w:hAnsi="Times New Roman" w:cs="Times New Roman"/>
          <w:sz w:val="24"/>
          <w:szCs w:val="24"/>
        </w:rPr>
        <w:t>60</w:t>
      </w:r>
      <w:r w:rsidRPr="00C9491B">
        <w:rPr>
          <w:rFonts w:ascii="Times New Roman" w:hAnsi="Times New Roman" w:cs="Times New Roman"/>
          <w:sz w:val="24"/>
          <w:szCs w:val="24"/>
        </w:rPr>
        <w:t>th percentile on the Quantitative Reasoning for admission.</w:t>
      </w:r>
      <w:r>
        <w:rPr>
          <w:rFonts w:ascii="Times New Roman" w:hAnsi="Times New Roman" w:cs="Times New Roman"/>
          <w:sz w:val="24"/>
          <w:szCs w:val="24"/>
        </w:rPr>
        <w:t xml:space="preserve"> The GRE score may be waived</w:t>
      </w:r>
      <w:r w:rsidR="00697DF9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for ISU students. </w:t>
      </w:r>
      <w:r w:rsidR="003614C9">
        <w:rPr>
          <w:rFonts w:ascii="Times New Roman" w:hAnsi="Times New Roman" w:cs="Times New Roman"/>
          <w:sz w:val="24"/>
          <w:szCs w:val="24"/>
        </w:rPr>
        <w:t xml:space="preserve">All ISU students please check with the program director to see if you qualify before applying. </w:t>
      </w:r>
    </w:p>
    <w:p w14:paraId="5750660C" w14:textId="77777777" w:rsidR="001F35E3" w:rsidRPr="001F35E3" w:rsidRDefault="001F35E3" w:rsidP="001F35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5E3">
        <w:rPr>
          <w:rFonts w:ascii="Times New Roman" w:hAnsi="Times New Roman" w:cs="Times New Roman"/>
          <w:b/>
          <w:bCs/>
          <w:sz w:val="24"/>
          <w:szCs w:val="24"/>
        </w:rPr>
        <w:t>General Requirements</w:t>
      </w:r>
    </w:p>
    <w:p w14:paraId="4267D05F" w14:textId="34E59C6D" w:rsidR="001F35E3" w:rsidRPr="001F35E3" w:rsidRDefault="001F35E3" w:rsidP="001F35E3">
      <w:pPr>
        <w:rPr>
          <w:rFonts w:ascii="Times New Roman" w:hAnsi="Times New Roman" w:cs="Times New Roman"/>
          <w:sz w:val="24"/>
          <w:szCs w:val="24"/>
        </w:rPr>
      </w:pPr>
      <w:r w:rsidRPr="001F35E3">
        <w:rPr>
          <w:rFonts w:ascii="Times New Roman" w:hAnsi="Times New Roman" w:cs="Times New Roman"/>
          <w:sz w:val="24"/>
          <w:szCs w:val="24"/>
        </w:rPr>
        <w:t xml:space="preserve">With the assistance of the Mechanical </w:t>
      </w:r>
      <w:r w:rsidR="000F1BC7">
        <w:rPr>
          <w:rFonts w:ascii="Times New Roman" w:hAnsi="Times New Roman" w:cs="Times New Roman"/>
          <w:sz w:val="24"/>
          <w:szCs w:val="24"/>
        </w:rPr>
        <w:t xml:space="preserve">and/or Electrical </w:t>
      </w:r>
      <w:r w:rsidRPr="001F35E3">
        <w:rPr>
          <w:rFonts w:ascii="Times New Roman" w:hAnsi="Times New Roman" w:cs="Times New Roman"/>
          <w:sz w:val="24"/>
          <w:szCs w:val="24"/>
        </w:rPr>
        <w:t>Engineering faculty, the student shall select an initial advisor during the first semester of residence to help in planning a program of stud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F35E3">
        <w:rPr>
          <w:rFonts w:ascii="Times New Roman" w:hAnsi="Times New Roman" w:cs="Times New Roman"/>
          <w:sz w:val="24"/>
          <w:szCs w:val="24"/>
        </w:rPr>
        <w:t xml:space="preserve"> and research. The student must also complete a Plan of Study and form a complete advisory committee by the time six credits of course work have been completed. </w:t>
      </w:r>
    </w:p>
    <w:p w14:paraId="06F438DE" w14:textId="24B7537D" w:rsidR="00847E4E" w:rsidRDefault="001F35E3" w:rsidP="00C9491B">
      <w:pPr>
        <w:rPr>
          <w:rFonts w:ascii="Times New Roman" w:hAnsi="Times New Roman" w:cs="Times New Roman"/>
          <w:sz w:val="24"/>
          <w:szCs w:val="24"/>
        </w:rPr>
      </w:pPr>
      <w:r w:rsidRPr="001F35E3">
        <w:rPr>
          <w:rFonts w:ascii="Times New Roman" w:hAnsi="Times New Roman" w:cs="Times New Roman"/>
          <w:sz w:val="24"/>
          <w:szCs w:val="24"/>
        </w:rPr>
        <w:t>30 credit hours</w:t>
      </w:r>
      <w:r w:rsidR="00847E4E">
        <w:rPr>
          <w:rFonts w:ascii="Times New Roman" w:hAnsi="Times New Roman" w:cs="Times New Roman"/>
          <w:sz w:val="24"/>
          <w:szCs w:val="24"/>
        </w:rPr>
        <w:t xml:space="preserve"> (24 credits of coursework + 6 credits Thesis/Special Project)</w:t>
      </w:r>
      <w:r w:rsidRPr="001F35E3">
        <w:rPr>
          <w:rFonts w:ascii="Times New Roman" w:hAnsi="Times New Roman" w:cs="Times New Roman"/>
          <w:sz w:val="24"/>
          <w:szCs w:val="24"/>
        </w:rPr>
        <w:t xml:space="preserve"> are required to complete </w:t>
      </w:r>
      <w:r>
        <w:rPr>
          <w:rFonts w:ascii="Times New Roman" w:hAnsi="Times New Roman" w:cs="Times New Roman"/>
          <w:sz w:val="24"/>
          <w:szCs w:val="24"/>
        </w:rPr>
        <w:t>an equivalent to the traditional</w:t>
      </w:r>
      <w:r w:rsidRPr="001F35E3">
        <w:rPr>
          <w:rFonts w:ascii="Times New Roman" w:hAnsi="Times New Roman" w:cs="Times New Roman"/>
          <w:sz w:val="24"/>
          <w:szCs w:val="24"/>
        </w:rPr>
        <w:t xml:space="preserve"> M.S. degree </w:t>
      </w:r>
      <w:r>
        <w:rPr>
          <w:rFonts w:ascii="Times New Roman" w:hAnsi="Times New Roman" w:cs="Times New Roman"/>
          <w:sz w:val="24"/>
          <w:szCs w:val="24"/>
        </w:rPr>
        <w:t xml:space="preserve">at ISU </w:t>
      </w:r>
      <w:r w:rsidRPr="001F35E3">
        <w:rPr>
          <w:rFonts w:ascii="Times New Roman" w:hAnsi="Times New Roman" w:cs="Times New Roman"/>
          <w:sz w:val="24"/>
          <w:szCs w:val="24"/>
        </w:rPr>
        <w:t xml:space="preserve">(at least 50% of the credits should be at the 6600 level). Approximately half of the credits are engineering and technical electives, subject to the approval of the student’s advisory committee. </w:t>
      </w:r>
      <w:r w:rsidR="000F1BC7" w:rsidRPr="000F1BC7">
        <w:rPr>
          <w:rFonts w:ascii="Times New Roman" w:hAnsi="Times New Roman" w:cs="Times New Roman"/>
          <w:sz w:val="24"/>
          <w:szCs w:val="24"/>
        </w:rPr>
        <w:t xml:space="preserve">The Thesis or Special Project should consist of study and research that complements the course work selected.  </w:t>
      </w:r>
      <w:r w:rsidR="00847E4E">
        <w:rPr>
          <w:rFonts w:ascii="Times New Roman" w:hAnsi="Times New Roman" w:cs="Times New Roman"/>
          <w:sz w:val="24"/>
          <w:szCs w:val="24"/>
        </w:rPr>
        <w:t xml:space="preserve">See table below for coursework requirements. </w:t>
      </w:r>
    </w:p>
    <w:p w14:paraId="5B2DB075" w14:textId="0DB74C61" w:rsidR="00847E4E" w:rsidRPr="00AB0A9D" w:rsidRDefault="00B64860" w:rsidP="00C949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A9D">
        <w:rPr>
          <w:rFonts w:ascii="Times New Roman" w:hAnsi="Times New Roman" w:cs="Times New Roman"/>
          <w:b/>
          <w:bCs/>
          <w:sz w:val="24"/>
          <w:szCs w:val="24"/>
        </w:rPr>
        <w:t>Required Courses (30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8167AF" w14:paraId="4843BB67" w14:textId="77777777" w:rsidTr="005510A7">
        <w:tc>
          <w:tcPr>
            <w:tcW w:w="1885" w:type="dxa"/>
            <w:tcBorders>
              <w:right w:val="nil"/>
            </w:tcBorders>
          </w:tcPr>
          <w:p w14:paraId="5DFBB04D" w14:textId="16D04759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5521</w:t>
            </w:r>
          </w:p>
        </w:tc>
        <w:tc>
          <w:tcPr>
            <w:tcW w:w="4348" w:type="dxa"/>
            <w:tcBorders>
              <w:left w:val="nil"/>
              <w:right w:val="nil"/>
            </w:tcBorders>
          </w:tcPr>
          <w:p w14:paraId="1BA76AF8" w14:textId="7FF16362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Engineering Mathematics I</w:t>
            </w:r>
            <w:r w:rsidR="00343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B3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3437DB">
              <w:rPr>
                <w:rFonts w:ascii="Times New Roman" w:hAnsi="Times New Roman" w:cs="Times New Roman"/>
                <w:sz w:val="24"/>
                <w:szCs w:val="24"/>
              </w:rPr>
              <w:t xml:space="preserve"> ME Dept. approved</w:t>
            </w:r>
            <w:r w:rsidR="00A86B3A">
              <w:rPr>
                <w:rFonts w:ascii="Times New Roman" w:hAnsi="Times New Roman" w:cs="Times New Roman"/>
                <w:sz w:val="24"/>
                <w:szCs w:val="24"/>
              </w:rPr>
              <w:t xml:space="preserve"> equivalent</w:t>
            </w:r>
            <w:bookmarkStart w:id="0" w:name="_GoBack"/>
            <w:bookmarkEnd w:id="0"/>
          </w:p>
        </w:tc>
        <w:tc>
          <w:tcPr>
            <w:tcW w:w="3117" w:type="dxa"/>
            <w:tcBorders>
              <w:left w:val="nil"/>
            </w:tcBorders>
          </w:tcPr>
          <w:p w14:paraId="00BF5C47" w14:textId="7AE54A21" w:rsidR="008167AF" w:rsidRPr="006239DF" w:rsidRDefault="006239D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3</w:t>
            </w:r>
          </w:p>
        </w:tc>
      </w:tr>
      <w:tr w:rsidR="008167AF" w14:paraId="1674708F" w14:textId="77777777" w:rsidTr="005510A7">
        <w:tc>
          <w:tcPr>
            <w:tcW w:w="1885" w:type="dxa"/>
            <w:tcBorders>
              <w:right w:val="nil"/>
            </w:tcBorders>
          </w:tcPr>
          <w:p w14:paraId="69792D51" w14:textId="130A62DF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MCE 6642</w:t>
            </w:r>
          </w:p>
        </w:tc>
        <w:tc>
          <w:tcPr>
            <w:tcW w:w="4348" w:type="dxa"/>
            <w:tcBorders>
              <w:left w:val="nil"/>
              <w:right w:val="nil"/>
            </w:tcBorders>
          </w:tcPr>
          <w:p w14:paraId="68CC6BFE" w14:textId="6CD5FE74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Control Systems</w:t>
            </w:r>
          </w:p>
        </w:tc>
        <w:tc>
          <w:tcPr>
            <w:tcW w:w="3117" w:type="dxa"/>
            <w:tcBorders>
              <w:left w:val="nil"/>
            </w:tcBorders>
          </w:tcPr>
          <w:p w14:paraId="0557DAE0" w14:textId="22287C44" w:rsidR="008167A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3</w:t>
            </w:r>
          </w:p>
        </w:tc>
      </w:tr>
      <w:tr w:rsidR="008167AF" w14:paraId="5CB461AD" w14:textId="77777777" w:rsidTr="005510A7">
        <w:tc>
          <w:tcPr>
            <w:tcW w:w="1885" w:type="dxa"/>
            <w:tcBorders>
              <w:right w:val="nil"/>
            </w:tcBorders>
          </w:tcPr>
          <w:p w14:paraId="0C0EE5BC" w14:textId="7C608993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MCE 6643</w:t>
            </w:r>
          </w:p>
        </w:tc>
        <w:tc>
          <w:tcPr>
            <w:tcW w:w="4348" w:type="dxa"/>
            <w:tcBorders>
              <w:left w:val="nil"/>
              <w:right w:val="nil"/>
            </w:tcBorders>
          </w:tcPr>
          <w:p w14:paraId="32901139" w14:textId="51E54106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Measurement Methods</w:t>
            </w:r>
          </w:p>
        </w:tc>
        <w:tc>
          <w:tcPr>
            <w:tcW w:w="3117" w:type="dxa"/>
            <w:tcBorders>
              <w:left w:val="nil"/>
            </w:tcBorders>
          </w:tcPr>
          <w:p w14:paraId="5BF18CD3" w14:textId="06340803" w:rsidR="008167A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3</w:t>
            </w:r>
          </w:p>
        </w:tc>
      </w:tr>
      <w:tr w:rsidR="008167AF" w14:paraId="0AE00C83" w14:textId="77777777" w:rsidTr="0060203C">
        <w:tc>
          <w:tcPr>
            <w:tcW w:w="6233" w:type="dxa"/>
            <w:gridSpan w:val="2"/>
            <w:tcBorders>
              <w:right w:val="nil"/>
            </w:tcBorders>
          </w:tcPr>
          <w:p w14:paraId="1236B690" w14:textId="4DABEC4B" w:rsidR="008167AF" w:rsidRPr="008167AF" w:rsidRDefault="008167A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 Engineering Electives</w:t>
            </w:r>
          </w:p>
        </w:tc>
        <w:tc>
          <w:tcPr>
            <w:tcW w:w="3117" w:type="dxa"/>
            <w:tcBorders>
              <w:left w:val="nil"/>
            </w:tcBorders>
          </w:tcPr>
          <w:p w14:paraId="580675BF" w14:textId="0589D6F2" w:rsidR="008167AF" w:rsidRPr="008167AF" w:rsidRDefault="008167A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1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167AF" w14:paraId="446A3416" w14:textId="77777777" w:rsidTr="006239DF">
        <w:tc>
          <w:tcPr>
            <w:tcW w:w="6233" w:type="dxa"/>
            <w:gridSpan w:val="2"/>
            <w:tcBorders>
              <w:bottom w:val="single" w:sz="4" w:space="0" w:color="auto"/>
              <w:right w:val="nil"/>
            </w:tcBorders>
          </w:tcPr>
          <w:p w14:paraId="29CFC3BD" w14:textId="7C228BEC" w:rsidR="008167AF" w:rsidRPr="008167AF" w:rsidRDefault="008167A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 Technical Electives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</w:tcPr>
          <w:p w14:paraId="2294E036" w14:textId="1CF4DE3A" w:rsidR="008167AF" w:rsidRPr="008167AF" w:rsidRDefault="008167A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81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167AF" w14:paraId="349F89E9" w14:textId="77777777" w:rsidTr="006239DF">
        <w:tc>
          <w:tcPr>
            <w:tcW w:w="1885" w:type="dxa"/>
            <w:tcBorders>
              <w:right w:val="nil"/>
            </w:tcBorders>
          </w:tcPr>
          <w:p w14:paraId="7D8AD6FE" w14:textId="6DDFF855" w:rsidR="008167A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ENGR 6650</w:t>
            </w:r>
          </w:p>
        </w:tc>
        <w:tc>
          <w:tcPr>
            <w:tcW w:w="4348" w:type="dxa"/>
            <w:tcBorders>
              <w:left w:val="nil"/>
              <w:right w:val="nil"/>
            </w:tcBorders>
          </w:tcPr>
          <w:p w14:paraId="5266D046" w14:textId="25440DC9" w:rsidR="008167A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3117" w:type="dxa"/>
            <w:tcBorders>
              <w:left w:val="nil"/>
            </w:tcBorders>
          </w:tcPr>
          <w:p w14:paraId="4D50ECF6" w14:textId="650DB240" w:rsidR="008167AF" w:rsidRPr="006239DF" w:rsidRDefault="006239D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62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39DF" w14:paraId="0F5A98C7" w14:textId="77777777" w:rsidTr="003D57B9">
        <w:tc>
          <w:tcPr>
            <w:tcW w:w="9350" w:type="dxa"/>
            <w:gridSpan w:val="3"/>
          </w:tcPr>
          <w:p w14:paraId="474DD113" w14:textId="7939F41E" w:rsidR="006239D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6239DF" w14:paraId="5DE7ED7F" w14:textId="77777777" w:rsidTr="00D553F3">
        <w:tc>
          <w:tcPr>
            <w:tcW w:w="9350" w:type="dxa"/>
            <w:gridSpan w:val="3"/>
          </w:tcPr>
          <w:p w14:paraId="4E9FA774" w14:textId="38226EA4" w:rsidR="006239D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additional elective course (3 credits)</w:t>
            </w:r>
          </w:p>
        </w:tc>
      </w:tr>
      <w:tr w:rsidR="006239DF" w14:paraId="3E200FCB" w14:textId="77777777" w:rsidTr="006239DF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BF91825" w14:textId="73D75A48" w:rsidR="006239DF" w:rsidRPr="006239DF" w:rsidRDefault="006239DF" w:rsidP="00816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</w:p>
        </w:tc>
      </w:tr>
      <w:tr w:rsidR="008167AF" w14:paraId="283F9FEF" w14:textId="77777777" w:rsidTr="006239DF">
        <w:tc>
          <w:tcPr>
            <w:tcW w:w="1885" w:type="dxa"/>
            <w:tcBorders>
              <w:right w:val="nil"/>
            </w:tcBorders>
          </w:tcPr>
          <w:p w14:paraId="6F0ABC1B" w14:textId="48C81D21" w:rsidR="008167A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6660</w:t>
            </w:r>
          </w:p>
        </w:tc>
        <w:tc>
          <w:tcPr>
            <w:tcW w:w="4348" w:type="dxa"/>
            <w:tcBorders>
              <w:left w:val="nil"/>
              <w:right w:val="nil"/>
            </w:tcBorders>
          </w:tcPr>
          <w:p w14:paraId="09DF3E17" w14:textId="52E86D90" w:rsidR="008167AF" w:rsidRDefault="006239D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Project</w:t>
            </w:r>
            <w:r w:rsidRPr="006239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</w:p>
        </w:tc>
        <w:tc>
          <w:tcPr>
            <w:tcW w:w="3117" w:type="dxa"/>
            <w:tcBorders>
              <w:left w:val="nil"/>
            </w:tcBorders>
          </w:tcPr>
          <w:p w14:paraId="545DA995" w14:textId="77777777" w:rsidR="008167AF" w:rsidRDefault="008167AF" w:rsidP="0081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DF" w14:paraId="66452C01" w14:textId="77777777" w:rsidTr="006C3664">
        <w:tc>
          <w:tcPr>
            <w:tcW w:w="9350" w:type="dxa"/>
            <w:gridSpan w:val="3"/>
          </w:tcPr>
          <w:p w14:paraId="190EC26A" w14:textId="2D8FE292" w:rsidR="006239DF" w:rsidRPr="005510A7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Credits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30</w:t>
            </w:r>
          </w:p>
        </w:tc>
      </w:tr>
      <w:tr w:rsidR="006239DF" w14:paraId="15BBE8FA" w14:textId="77777777" w:rsidTr="00E147FC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C95B2F" w14:textId="77777777" w:rsidR="006239DF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9DF" w14:paraId="57E86C18" w14:textId="77777777" w:rsidTr="00E147FC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37D3E" w14:textId="0C7560D9" w:rsidR="006239DF" w:rsidRPr="00D3719B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B.S. to Ph.D.</w:t>
            </w:r>
          </w:p>
        </w:tc>
      </w:tr>
      <w:tr w:rsidR="006239DF" w14:paraId="6D4FA0F9" w14:textId="77777777" w:rsidTr="00AE2F65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EFCB1B" w14:textId="08C1C3E5" w:rsidR="006239DF" w:rsidRPr="00E1397E" w:rsidRDefault="006239DF" w:rsidP="006239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Substitute 6 Thesis credits for additional coursework of approved electives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239DF" w14:paraId="22AC9E09" w14:textId="77777777" w:rsidTr="00595297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FEEE5" w14:textId="724029A7" w:rsidR="006239DF" w:rsidRPr="0094579A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>Ph.D. coursework, 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6 courses (18 credits) of approved electives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18</w:t>
            </w:r>
          </w:p>
        </w:tc>
      </w:tr>
      <w:tr w:rsidR="006239DF" w14:paraId="779E4007" w14:textId="77777777" w:rsidTr="00262732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21BB9" w14:textId="32D7AE58" w:rsidR="006239DF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credit)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</w:t>
            </w:r>
          </w:p>
        </w:tc>
      </w:tr>
      <w:tr w:rsidR="006239DF" w14:paraId="28573CF9" w14:textId="77777777" w:rsidTr="00187855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6C49C7" w14:textId="7EF3B29A" w:rsidR="006239DF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Dissertation (35 </w:t>
            </w:r>
            <w:proofErr w:type="gramStart"/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credits)   </w:t>
            </w:r>
            <w:proofErr w:type="gramEnd"/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239DF" w14:paraId="6D7DC522" w14:textId="77777777" w:rsidTr="000F2783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A58F78" w14:textId="7C4A011B" w:rsidR="006239DF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minimum credits required for graduation                                                                   84</w:t>
            </w:r>
          </w:p>
        </w:tc>
      </w:tr>
      <w:tr w:rsidR="006239DF" w14:paraId="05F16A05" w14:textId="77777777" w:rsidTr="007837A7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9DD497" w14:textId="0DB89AB1" w:rsidR="006239DF" w:rsidRDefault="006239DF" w:rsidP="0062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Dissemination: 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>In addition to the listed requirements a Ph.D. student must have least 1 article in an international, peer-reviewed journal accepted for publication, or 3 contributions to international, peer-reviewed conferences accepted for presentation at the time of graduation.</w:t>
            </w:r>
          </w:p>
        </w:tc>
      </w:tr>
    </w:tbl>
    <w:p w14:paraId="19AFA972" w14:textId="0C84E749" w:rsidR="00847E4E" w:rsidRDefault="00847E4E" w:rsidP="00C9491B">
      <w:pPr>
        <w:rPr>
          <w:rFonts w:ascii="Times New Roman" w:hAnsi="Times New Roman" w:cs="Times New Roman"/>
          <w:sz w:val="24"/>
          <w:szCs w:val="24"/>
        </w:rPr>
      </w:pPr>
    </w:p>
    <w:p w14:paraId="092F9792" w14:textId="1881FB59" w:rsidR="00E147FC" w:rsidRPr="00E147FC" w:rsidRDefault="00E147FC" w:rsidP="00E1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147FC">
        <w:rPr>
          <w:rFonts w:ascii="Times New Roman" w:hAnsi="Times New Roman" w:cs="Times New Roman"/>
          <w:sz w:val="24"/>
          <w:szCs w:val="24"/>
        </w:rPr>
        <w:t>Approved by Major Advisor.</w:t>
      </w:r>
    </w:p>
    <w:p w14:paraId="61A98CBF" w14:textId="3E197500" w:rsidR="00E147FC" w:rsidRDefault="00E147FC" w:rsidP="00E1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147FC">
        <w:rPr>
          <w:rFonts w:ascii="Times New Roman" w:hAnsi="Times New Roman" w:cs="Times New Roman"/>
          <w:sz w:val="24"/>
          <w:szCs w:val="24"/>
        </w:rPr>
        <w:t>Students desiring to do the non-thesis option must have a minimum of two years of industry experience, or a previous graduate degree (MS or PhD) in an engineering discipline that included the completion of a thesis or dissertation. In place of the 6-credit thesis, the non-thesis option consists of a 3-credit Special Project in addition to a 3-credit course. At the completion of the Special Project, the student will be required to do an oral presentation/defense of the Project.</w:t>
      </w:r>
    </w:p>
    <w:p w14:paraId="614237BD" w14:textId="6B3E5560" w:rsidR="00E1397E" w:rsidRPr="00E1397E" w:rsidRDefault="00E1397E" w:rsidP="00E1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9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397E">
        <w:t xml:space="preserve"> </w:t>
      </w:r>
      <w:r w:rsidRPr="00E1397E">
        <w:rPr>
          <w:rFonts w:ascii="Times New Roman" w:hAnsi="Times New Roman" w:cs="Times New Roman"/>
          <w:sz w:val="24"/>
          <w:szCs w:val="24"/>
        </w:rPr>
        <w:t>For each semester the student takes graduate seminar, the student must:</w:t>
      </w:r>
    </w:p>
    <w:p w14:paraId="44612EFE" w14:textId="09D411DA" w:rsidR="00E1397E" w:rsidRPr="00E1397E" w:rsidRDefault="00E1397E" w:rsidP="00E1397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397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97E">
        <w:rPr>
          <w:rFonts w:ascii="Times New Roman" w:hAnsi="Times New Roman" w:cs="Times New Roman"/>
          <w:sz w:val="24"/>
          <w:szCs w:val="24"/>
        </w:rPr>
        <w:t xml:space="preserve">attend the presentations given by other graduate students, or attend other professional talks, seminars, etc., </w:t>
      </w:r>
    </w:p>
    <w:p w14:paraId="5F549E3D" w14:textId="65932925" w:rsidR="00E1397E" w:rsidRPr="00E1397E" w:rsidRDefault="00E1397E" w:rsidP="00E1397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397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97E">
        <w:rPr>
          <w:rFonts w:ascii="Times New Roman" w:hAnsi="Times New Roman" w:cs="Times New Roman"/>
          <w:sz w:val="24"/>
          <w:szCs w:val="24"/>
        </w:rPr>
        <w:t>make a brief report of half a page on each of the seminar presentations, and</w:t>
      </w:r>
    </w:p>
    <w:p w14:paraId="71AA5524" w14:textId="4378BC14" w:rsidR="00E1397E" w:rsidRDefault="00E1397E" w:rsidP="00E1397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397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97E">
        <w:rPr>
          <w:rFonts w:ascii="Times New Roman" w:hAnsi="Times New Roman" w:cs="Times New Roman"/>
          <w:sz w:val="24"/>
          <w:szCs w:val="24"/>
        </w:rPr>
        <w:t>give at least 1 seminar presentation.</w:t>
      </w:r>
    </w:p>
    <w:p w14:paraId="6F4B5617" w14:textId="77777777" w:rsidR="00FC77B8" w:rsidRDefault="00FC77B8" w:rsidP="00C9491B">
      <w:pPr>
        <w:rPr>
          <w:rFonts w:ascii="Times New Roman" w:hAnsi="Times New Roman" w:cs="Times New Roman"/>
          <w:sz w:val="24"/>
          <w:szCs w:val="24"/>
        </w:rPr>
      </w:pPr>
    </w:p>
    <w:p w14:paraId="4CF128DB" w14:textId="4EC56FF1" w:rsidR="00C9491B" w:rsidRDefault="00FC77B8" w:rsidP="00C9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On completing 24 credit hours in the program, </w:t>
      </w:r>
      <w:r w:rsidR="001F35E3">
        <w:rPr>
          <w:rFonts w:ascii="Times New Roman" w:hAnsi="Times New Roman" w:cs="Times New Roman"/>
          <w:sz w:val="24"/>
          <w:szCs w:val="24"/>
        </w:rPr>
        <w:t xml:space="preserve">a student may elect to choose defending a </w:t>
      </w:r>
      <w:r w:rsidR="001F35E3" w:rsidRPr="001F35E3">
        <w:rPr>
          <w:rFonts w:ascii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 xml:space="preserve">(additional 6 credits) </w:t>
      </w:r>
      <w:r w:rsidR="001F35E3" w:rsidRPr="001F35E3">
        <w:rPr>
          <w:rFonts w:ascii="Times New Roman" w:hAnsi="Times New Roman" w:cs="Times New Roman"/>
          <w:sz w:val="24"/>
          <w:szCs w:val="24"/>
        </w:rPr>
        <w:t>or Special Project</w:t>
      </w:r>
      <w:r>
        <w:rPr>
          <w:rFonts w:ascii="Times New Roman" w:hAnsi="Times New Roman" w:cs="Times New Roman"/>
          <w:sz w:val="24"/>
          <w:szCs w:val="24"/>
        </w:rPr>
        <w:t xml:space="preserve"> (1 additional 3 credit course and 3 credit special project) </w:t>
      </w:r>
      <w:r w:rsidR="001F35E3">
        <w:rPr>
          <w:rFonts w:ascii="Times New Roman" w:hAnsi="Times New Roman" w:cs="Times New Roman"/>
          <w:sz w:val="24"/>
          <w:szCs w:val="24"/>
        </w:rPr>
        <w:t xml:space="preserve">to obtain the </w:t>
      </w:r>
      <w:r w:rsidR="00AD1CAE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1F35E3">
        <w:rPr>
          <w:rFonts w:ascii="Times New Roman" w:hAnsi="Times New Roman" w:cs="Times New Roman"/>
          <w:sz w:val="24"/>
          <w:szCs w:val="24"/>
        </w:rPr>
        <w:t>M.S. degree</w:t>
      </w:r>
      <w:r w:rsidR="00AD1CAE">
        <w:rPr>
          <w:rFonts w:ascii="Times New Roman" w:hAnsi="Times New Roman" w:cs="Times New Roman"/>
          <w:sz w:val="24"/>
          <w:szCs w:val="24"/>
        </w:rPr>
        <w:t>.</w:t>
      </w:r>
      <w:r w:rsidR="001F35E3">
        <w:rPr>
          <w:rFonts w:ascii="Times New Roman" w:hAnsi="Times New Roman" w:cs="Times New Roman"/>
          <w:sz w:val="24"/>
          <w:szCs w:val="24"/>
        </w:rPr>
        <w:t xml:space="preserve"> </w:t>
      </w:r>
      <w:r w:rsidR="00AD1CAE">
        <w:rPr>
          <w:rFonts w:ascii="Times New Roman" w:hAnsi="Times New Roman" w:cs="Times New Roman"/>
          <w:sz w:val="24"/>
          <w:szCs w:val="24"/>
        </w:rPr>
        <w:t>T</w:t>
      </w:r>
      <w:r w:rsidR="001F35E3">
        <w:rPr>
          <w:rFonts w:ascii="Times New Roman" w:hAnsi="Times New Roman" w:cs="Times New Roman"/>
          <w:sz w:val="24"/>
          <w:szCs w:val="24"/>
        </w:rPr>
        <w:t xml:space="preserve">his option may be exercised only </w:t>
      </w:r>
      <w:r w:rsidR="00AD1CAE">
        <w:rPr>
          <w:rFonts w:ascii="Times New Roman" w:hAnsi="Times New Roman" w:cs="Times New Roman"/>
          <w:sz w:val="24"/>
          <w:szCs w:val="24"/>
        </w:rPr>
        <w:t>if approved</w:t>
      </w:r>
      <w:r w:rsidR="001F35E3">
        <w:rPr>
          <w:rFonts w:ascii="Times New Roman" w:hAnsi="Times New Roman" w:cs="Times New Roman"/>
          <w:sz w:val="24"/>
          <w:szCs w:val="24"/>
        </w:rPr>
        <w:t xml:space="preserve"> by the student’s major advisor. </w:t>
      </w:r>
    </w:p>
    <w:p w14:paraId="07645436" w14:textId="2EFF3F0F" w:rsidR="00CC2B67" w:rsidRDefault="00CC2B67" w:rsidP="00C9491B">
      <w:pPr>
        <w:rPr>
          <w:rFonts w:ascii="Times New Roman" w:hAnsi="Times New Roman" w:cs="Times New Roman"/>
          <w:sz w:val="24"/>
          <w:szCs w:val="24"/>
        </w:rPr>
      </w:pPr>
    </w:p>
    <w:p w14:paraId="074DB720" w14:textId="66843A0E" w:rsidR="00CC2B67" w:rsidRDefault="00CC2B67" w:rsidP="00C9491B">
      <w:pPr>
        <w:rPr>
          <w:rFonts w:ascii="Times New Roman" w:hAnsi="Times New Roman" w:cs="Times New Roman"/>
          <w:sz w:val="24"/>
          <w:szCs w:val="24"/>
        </w:rPr>
      </w:pPr>
    </w:p>
    <w:p w14:paraId="79B42225" w14:textId="0E8ED756" w:rsidR="00CC2B67" w:rsidRDefault="00CC2B67" w:rsidP="00C9491B">
      <w:pPr>
        <w:rPr>
          <w:rFonts w:ascii="Times New Roman" w:hAnsi="Times New Roman" w:cs="Times New Roman"/>
          <w:sz w:val="24"/>
          <w:szCs w:val="24"/>
        </w:rPr>
      </w:pPr>
    </w:p>
    <w:p w14:paraId="18E7B551" w14:textId="0C23AB50" w:rsidR="00CC2B67" w:rsidRDefault="00CC2B67" w:rsidP="00C9491B">
      <w:pPr>
        <w:rPr>
          <w:rFonts w:ascii="Times New Roman" w:hAnsi="Times New Roman" w:cs="Times New Roman"/>
          <w:sz w:val="24"/>
          <w:szCs w:val="24"/>
        </w:rPr>
      </w:pPr>
    </w:p>
    <w:p w14:paraId="5BF4FED2" w14:textId="77777777" w:rsidR="00220765" w:rsidRPr="00C9491B" w:rsidRDefault="00220765" w:rsidP="00C9491B">
      <w:pPr>
        <w:rPr>
          <w:rFonts w:ascii="Times New Roman" w:hAnsi="Times New Roman" w:cs="Times New Roman"/>
          <w:sz w:val="24"/>
          <w:szCs w:val="24"/>
        </w:rPr>
      </w:pPr>
    </w:p>
    <w:sectPr w:rsidR="00220765" w:rsidRPr="00C9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A60B" w14:textId="77777777" w:rsidR="005C6BD5" w:rsidRDefault="005C6BD5" w:rsidP="0094579A">
      <w:pPr>
        <w:spacing w:after="0" w:line="240" w:lineRule="auto"/>
      </w:pPr>
      <w:r>
        <w:separator/>
      </w:r>
    </w:p>
  </w:endnote>
  <w:endnote w:type="continuationSeparator" w:id="0">
    <w:p w14:paraId="042F16E0" w14:textId="77777777" w:rsidR="005C6BD5" w:rsidRDefault="005C6BD5" w:rsidP="0094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5501" w14:textId="77777777" w:rsidR="005C6BD5" w:rsidRDefault="005C6BD5" w:rsidP="0094579A">
      <w:pPr>
        <w:spacing w:after="0" w:line="240" w:lineRule="auto"/>
      </w:pPr>
      <w:r>
        <w:separator/>
      </w:r>
    </w:p>
  </w:footnote>
  <w:footnote w:type="continuationSeparator" w:id="0">
    <w:p w14:paraId="16216B27" w14:textId="77777777" w:rsidR="005C6BD5" w:rsidRDefault="005C6BD5" w:rsidP="0094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2B"/>
    <w:rsid w:val="000072A9"/>
    <w:rsid w:val="000F1BC7"/>
    <w:rsid w:val="001F35E3"/>
    <w:rsid w:val="00220765"/>
    <w:rsid w:val="00280661"/>
    <w:rsid w:val="00335153"/>
    <w:rsid w:val="003437DB"/>
    <w:rsid w:val="003614C9"/>
    <w:rsid w:val="005335CC"/>
    <w:rsid w:val="005510A7"/>
    <w:rsid w:val="005C6BD5"/>
    <w:rsid w:val="006239DF"/>
    <w:rsid w:val="00697DF9"/>
    <w:rsid w:val="00775EFD"/>
    <w:rsid w:val="007A6C4C"/>
    <w:rsid w:val="008167AF"/>
    <w:rsid w:val="00847E4E"/>
    <w:rsid w:val="0094579A"/>
    <w:rsid w:val="00A86B3A"/>
    <w:rsid w:val="00AB0A9D"/>
    <w:rsid w:val="00AD1CAE"/>
    <w:rsid w:val="00AF7748"/>
    <w:rsid w:val="00B64860"/>
    <w:rsid w:val="00C9491B"/>
    <w:rsid w:val="00CC2B67"/>
    <w:rsid w:val="00D22A95"/>
    <w:rsid w:val="00D3719B"/>
    <w:rsid w:val="00D97DF8"/>
    <w:rsid w:val="00DF3A2B"/>
    <w:rsid w:val="00E1397E"/>
    <w:rsid w:val="00E147FC"/>
    <w:rsid w:val="00EF7EBE"/>
    <w:rsid w:val="00F82EAD"/>
    <w:rsid w:val="00FC77B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EA0D"/>
  <w15:chartTrackingRefBased/>
  <w15:docId w15:val="{2F4C283B-BEAC-4231-BB28-975C6799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5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Ken Bosworth</cp:lastModifiedBy>
  <cp:revision>11</cp:revision>
  <dcterms:created xsi:type="dcterms:W3CDTF">2021-01-26T14:23:00Z</dcterms:created>
  <dcterms:modified xsi:type="dcterms:W3CDTF">2021-02-02T17:23:00Z</dcterms:modified>
</cp:coreProperties>
</file>