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AD0F" w14:textId="77777777" w:rsidR="001B4512" w:rsidRDefault="00EC0EFD">
      <w:pPr>
        <w:pStyle w:val="BodyText"/>
        <w:ind w:left="3321"/>
        <w:rPr>
          <w:rFonts w:ascii="Times New Roman"/>
          <w:sz w:val="20"/>
        </w:rPr>
      </w:pPr>
      <w:r>
        <w:rPr>
          <w:rFonts w:ascii="Times New Roman"/>
          <w:noProof/>
          <w:sz w:val="20"/>
        </w:rPr>
        <w:drawing>
          <wp:inline distT="0" distB="0" distL="0" distR="0" wp14:anchorId="5A143F53" wp14:editId="7129484F">
            <wp:extent cx="2334767" cy="816863"/>
            <wp:effectExtent l="0" t="0" r="0" b="0"/>
            <wp:docPr id="1" name="image1.jpeg" descr="Idaho State University College of Science and Engin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daho State University College of Science and Engineering logo."/>
                    <pic:cNvPicPr/>
                  </pic:nvPicPr>
                  <pic:blipFill>
                    <a:blip r:embed="rId5" cstate="print"/>
                    <a:stretch>
                      <a:fillRect/>
                    </a:stretch>
                  </pic:blipFill>
                  <pic:spPr>
                    <a:xfrm>
                      <a:off x="0" y="0"/>
                      <a:ext cx="2334767" cy="816863"/>
                    </a:xfrm>
                    <a:prstGeom prst="rect">
                      <a:avLst/>
                    </a:prstGeom>
                  </pic:spPr>
                </pic:pic>
              </a:graphicData>
            </a:graphic>
          </wp:inline>
        </w:drawing>
      </w:r>
    </w:p>
    <w:p w14:paraId="7A6B053E" w14:textId="77777777" w:rsidR="001B4512" w:rsidRDefault="001B4512">
      <w:pPr>
        <w:pStyle w:val="BodyText"/>
        <w:spacing w:before="9"/>
        <w:ind w:left="0"/>
        <w:rPr>
          <w:rFonts w:ascii="Times New Roman"/>
          <w:sz w:val="21"/>
        </w:rPr>
      </w:pPr>
    </w:p>
    <w:p w14:paraId="76B511D5" w14:textId="77777777" w:rsidR="001B4512" w:rsidRDefault="00EC0EFD">
      <w:pPr>
        <w:spacing w:before="48"/>
        <w:ind w:left="2495" w:right="2495"/>
        <w:jc w:val="center"/>
        <w:rPr>
          <w:b/>
          <w:sz w:val="26"/>
        </w:rPr>
      </w:pPr>
      <w:r>
        <w:rPr>
          <w:b/>
          <w:sz w:val="26"/>
        </w:rPr>
        <w:t>ANNUAL FACULTY PERFORMANCE EVALUATIONS</w:t>
      </w:r>
    </w:p>
    <w:p w14:paraId="1B7A1164" w14:textId="77777777" w:rsidR="001B4512" w:rsidRDefault="00EC0EFD">
      <w:pPr>
        <w:spacing w:before="17"/>
        <w:ind w:left="2495" w:right="2453"/>
        <w:jc w:val="center"/>
        <w:rPr>
          <w:i/>
        </w:rPr>
      </w:pPr>
      <w:r>
        <w:rPr>
          <w:i/>
          <w:sz w:val="18"/>
        </w:rPr>
        <w:t>ADOPTED</w:t>
      </w:r>
      <w:r>
        <w:rPr>
          <w:i/>
        </w:rPr>
        <w:t xml:space="preserve">:  </w:t>
      </w:r>
      <w:r>
        <w:rPr>
          <w:i/>
          <w:sz w:val="18"/>
        </w:rPr>
        <w:t xml:space="preserve">JANUARY </w:t>
      </w:r>
      <w:r>
        <w:rPr>
          <w:i/>
        </w:rPr>
        <w:t>6, 2015</w:t>
      </w:r>
    </w:p>
    <w:p w14:paraId="34F9EA4B" w14:textId="77777777" w:rsidR="001B4512" w:rsidRDefault="001B4512">
      <w:pPr>
        <w:pStyle w:val="BodyText"/>
        <w:spacing w:before="5"/>
        <w:ind w:left="0"/>
        <w:rPr>
          <w:i/>
          <w:sz w:val="29"/>
        </w:rPr>
      </w:pPr>
    </w:p>
    <w:p w14:paraId="729E053A" w14:textId="77777777" w:rsidR="001B4512" w:rsidRDefault="00EC0EFD">
      <w:pPr>
        <w:pStyle w:val="BodyText"/>
        <w:spacing w:before="1" w:line="259" w:lineRule="auto"/>
        <w:ind w:left="119" w:right="116"/>
        <w:jc w:val="both"/>
      </w:pPr>
      <w:r>
        <w:rPr>
          <w:b/>
          <w:u w:val="single"/>
        </w:rPr>
        <w:t>Preamble</w:t>
      </w:r>
      <w:r>
        <w:rPr>
          <w:b/>
        </w:rPr>
        <w:t xml:space="preserve">. </w:t>
      </w:r>
      <w:r>
        <w:t>The Idaho State Board of Education, Northwest Accreditation Commission, and ISU Procedure</w:t>
      </w:r>
      <w:r>
        <w:rPr>
          <w:position w:val="8"/>
          <w:sz w:val="16"/>
        </w:rPr>
        <w:t xml:space="preserve">1 </w:t>
      </w:r>
      <w:r>
        <w:t xml:space="preserve">require annual performance evaluations of all on‐going faculty. Annual evaluation has three objectives. First, it sets standards for high quality performance within </w:t>
      </w:r>
      <w:r>
        <w:t xml:space="preserve">the mission and values of the University, which has critical value in faculty career development. Second, it provides a mechanism for awarding merit increases in salary for deserving faculty where applicable and pending institutional funding availability. </w:t>
      </w:r>
      <w:r>
        <w:t>Third, it assists department chairs in determining how best to utilize the strengths of their faculty to meet departmental needs. Although faculty participate in teaching, research, and service, in highly variable ways the actual balance of activities depe</w:t>
      </w:r>
      <w:r>
        <w:t>nds on the faculty member’s workload, an item determined by the chair. This document provides guidelines that ensure fair and accurate evaluations that are consistent across the College. This document also provides clear expectations for the faculty and al</w:t>
      </w:r>
      <w:r>
        <w:t xml:space="preserve">l persons involved in the evaluation process. </w:t>
      </w:r>
      <w:proofErr w:type="gramStart"/>
      <w:r>
        <w:t>Finally</w:t>
      </w:r>
      <w:proofErr w:type="gramEnd"/>
      <w:r>
        <w:t xml:space="preserve"> this document is advisory in nature, that is, it advises the Dean and Chairs towards best practice in carrying out annual performance evaluations.</w:t>
      </w:r>
    </w:p>
    <w:p w14:paraId="333B74F0" w14:textId="77777777" w:rsidR="001B4512" w:rsidRDefault="00EC0EFD">
      <w:pPr>
        <w:pStyle w:val="BodyText"/>
        <w:spacing w:before="153" w:line="259" w:lineRule="auto"/>
        <w:ind w:left="119" w:right="117" w:hanging="1"/>
        <w:jc w:val="both"/>
      </w:pPr>
      <w:r>
        <w:rPr>
          <w:b/>
          <w:u w:val="single"/>
        </w:rPr>
        <w:t>Issues addressed by this document</w:t>
      </w:r>
      <w:r>
        <w:rPr>
          <w:b/>
        </w:rPr>
        <w:t xml:space="preserve">. </w:t>
      </w:r>
      <w:r>
        <w:t>The focus here is on</w:t>
      </w:r>
      <w:r>
        <w:t xml:space="preserve"> the five‐tier “Chair’s evaluation of overall performance for the period under review” in Idaho State University’s annual evaluation form. The five ratings—exceptional,</w:t>
      </w:r>
      <w:r>
        <w:rPr>
          <w:spacing w:val="-11"/>
        </w:rPr>
        <w:t xml:space="preserve"> </w:t>
      </w:r>
      <w:r>
        <w:t>above</w:t>
      </w:r>
      <w:r>
        <w:rPr>
          <w:spacing w:val="-8"/>
        </w:rPr>
        <w:t xml:space="preserve"> </w:t>
      </w:r>
      <w:r>
        <w:t>expectations,</w:t>
      </w:r>
      <w:r>
        <w:rPr>
          <w:spacing w:val="-10"/>
        </w:rPr>
        <w:t xml:space="preserve"> </w:t>
      </w:r>
      <w:r>
        <w:t>meets</w:t>
      </w:r>
      <w:r>
        <w:rPr>
          <w:spacing w:val="-10"/>
        </w:rPr>
        <w:t xml:space="preserve"> </w:t>
      </w:r>
      <w:r>
        <w:t>expectations,</w:t>
      </w:r>
      <w:r>
        <w:rPr>
          <w:spacing w:val="-10"/>
        </w:rPr>
        <w:t xml:space="preserve"> </w:t>
      </w:r>
      <w:r>
        <w:t>below</w:t>
      </w:r>
      <w:r>
        <w:rPr>
          <w:spacing w:val="-8"/>
        </w:rPr>
        <w:t xml:space="preserve"> </w:t>
      </w:r>
      <w:r>
        <w:t>expectations,</w:t>
      </w:r>
      <w:r>
        <w:rPr>
          <w:spacing w:val="-11"/>
        </w:rPr>
        <w:t xml:space="preserve"> </w:t>
      </w:r>
      <w:r>
        <w:t>and</w:t>
      </w:r>
      <w:r>
        <w:rPr>
          <w:spacing w:val="-9"/>
        </w:rPr>
        <w:t xml:space="preserve"> </w:t>
      </w:r>
      <w:r>
        <w:t>unacceptable— do not ca</w:t>
      </w:r>
      <w:r>
        <w:t>rry absolute definition, and yet the ratings can affect faculty member’s</w:t>
      </w:r>
      <w:r>
        <w:rPr>
          <w:spacing w:val="-14"/>
        </w:rPr>
        <w:t xml:space="preserve"> </w:t>
      </w:r>
      <w:r>
        <w:t>careers.</w:t>
      </w:r>
    </w:p>
    <w:p w14:paraId="0B01E033" w14:textId="77777777" w:rsidR="001B4512" w:rsidRDefault="00EC0EFD">
      <w:pPr>
        <w:pStyle w:val="BodyText"/>
        <w:spacing w:before="159" w:line="259" w:lineRule="auto"/>
        <w:ind w:left="119" w:right="116" w:hanging="1"/>
        <w:jc w:val="both"/>
      </w:pPr>
      <w:r>
        <w:t>Annual evaluation is one of the main tools by which chairs manage their departments and by which faculty report their work to the University. It requires study, contemplation</w:t>
      </w:r>
      <w:r>
        <w:t>, and judgment by the evaluators, and those being evaluated might not agree with the conclusions. The point of view in this document is that the process is necessary and that evaluators have an evident duty to be fair and accurate. The focus is not on thos</w:t>
      </w:r>
      <w:r>
        <w:t>e large issues but on the smaller one of assigning and using the five‐ tier ratings.</w:t>
      </w:r>
    </w:p>
    <w:p w14:paraId="6202C32A" w14:textId="77777777" w:rsidR="001B4512" w:rsidRDefault="00EC0EFD">
      <w:pPr>
        <w:pStyle w:val="BodyText"/>
        <w:spacing w:before="158" w:line="259" w:lineRule="auto"/>
        <w:ind w:left="119" w:right="117"/>
        <w:jc w:val="both"/>
      </w:pPr>
      <w:r>
        <w:t>In</w:t>
      </w:r>
      <w:r>
        <w:rPr>
          <w:spacing w:val="-11"/>
        </w:rPr>
        <w:t xml:space="preserve"> </w:t>
      </w:r>
      <w:r>
        <w:t>the</w:t>
      </w:r>
      <w:r>
        <w:rPr>
          <w:spacing w:val="-9"/>
        </w:rPr>
        <w:t xml:space="preserve"> </w:t>
      </w:r>
      <w:r>
        <w:t>annual</w:t>
      </w:r>
      <w:r>
        <w:rPr>
          <w:spacing w:val="-11"/>
        </w:rPr>
        <w:t xml:space="preserve"> </w:t>
      </w:r>
      <w:r>
        <w:t>evaluation</w:t>
      </w:r>
      <w:r>
        <w:rPr>
          <w:spacing w:val="-10"/>
        </w:rPr>
        <w:t xml:space="preserve"> </w:t>
      </w:r>
      <w:r>
        <w:t>form,</w:t>
      </w:r>
      <w:r>
        <w:rPr>
          <w:spacing w:val="-11"/>
        </w:rPr>
        <w:t xml:space="preserve"> </w:t>
      </w:r>
      <w:r>
        <w:t>the</w:t>
      </w:r>
      <w:r>
        <w:rPr>
          <w:spacing w:val="-9"/>
        </w:rPr>
        <w:t xml:space="preserve"> </w:t>
      </w:r>
      <w:r>
        <w:t>rating</w:t>
      </w:r>
      <w:r>
        <w:rPr>
          <w:spacing w:val="-11"/>
        </w:rPr>
        <w:t xml:space="preserve"> </w:t>
      </w:r>
      <w:r>
        <w:t>is</w:t>
      </w:r>
      <w:r>
        <w:rPr>
          <w:spacing w:val="-10"/>
        </w:rPr>
        <w:t xml:space="preserve"> </w:t>
      </w:r>
      <w:r>
        <w:t>the</w:t>
      </w:r>
      <w:r>
        <w:rPr>
          <w:spacing w:val="-10"/>
        </w:rPr>
        <w:t xml:space="preserve"> </w:t>
      </w:r>
      <w:r>
        <w:t>last</w:t>
      </w:r>
      <w:r>
        <w:rPr>
          <w:spacing w:val="-10"/>
        </w:rPr>
        <w:t xml:space="preserve"> </w:t>
      </w:r>
      <w:r>
        <w:t>item</w:t>
      </w:r>
      <w:r>
        <w:rPr>
          <w:spacing w:val="-9"/>
        </w:rPr>
        <w:t xml:space="preserve"> </w:t>
      </w:r>
      <w:r>
        <w:t>before</w:t>
      </w:r>
      <w:r>
        <w:rPr>
          <w:spacing w:val="-10"/>
        </w:rPr>
        <w:t xml:space="preserve"> </w:t>
      </w:r>
      <w:r>
        <w:t>the</w:t>
      </w:r>
      <w:r>
        <w:rPr>
          <w:spacing w:val="-11"/>
        </w:rPr>
        <w:t xml:space="preserve"> </w:t>
      </w:r>
      <w:r>
        <w:t>chair’s</w:t>
      </w:r>
      <w:r>
        <w:rPr>
          <w:spacing w:val="-11"/>
        </w:rPr>
        <w:t xml:space="preserve"> </w:t>
      </w:r>
      <w:r>
        <w:t>signature;</w:t>
      </w:r>
      <w:r>
        <w:rPr>
          <w:spacing w:val="-11"/>
        </w:rPr>
        <w:t xml:space="preserve"> </w:t>
      </w:r>
      <w:r>
        <w:t>the</w:t>
      </w:r>
      <w:r>
        <w:rPr>
          <w:spacing w:val="-10"/>
        </w:rPr>
        <w:t xml:space="preserve"> </w:t>
      </w:r>
      <w:r>
        <w:t>faculty</w:t>
      </w:r>
      <w:r>
        <w:rPr>
          <w:spacing w:val="-10"/>
        </w:rPr>
        <w:t xml:space="preserve"> </w:t>
      </w:r>
      <w:r>
        <w:t>member then signs off but has an opportunity to respond in writing. The Dean’s evaluation of a faculty member may differ from the Chair’s evaluation. If there is a difference, then the Dean informs the Chair of the difference prior to informing the faculty</w:t>
      </w:r>
      <w:r>
        <w:t xml:space="preserve"> member. As with the Chair’s evaluation, a faculty member has the opportunity to respond in writing to the Dean’s evaluation. For clarity the full record of the evaluation moves forward to the</w:t>
      </w:r>
      <w:r>
        <w:rPr>
          <w:spacing w:val="-5"/>
        </w:rPr>
        <w:t xml:space="preserve"> </w:t>
      </w:r>
      <w:proofErr w:type="gramStart"/>
      <w:r>
        <w:t>Provost</w:t>
      </w:r>
      <w:proofErr w:type="gramEnd"/>
      <w:r>
        <w:t>.</w:t>
      </w:r>
    </w:p>
    <w:p w14:paraId="1F061CC5" w14:textId="77777777" w:rsidR="001B4512" w:rsidRDefault="00EC0EFD">
      <w:pPr>
        <w:pStyle w:val="BodyText"/>
        <w:spacing w:before="159" w:line="259" w:lineRule="auto"/>
        <w:ind w:left="120" w:right="117" w:hanging="1"/>
        <w:jc w:val="both"/>
      </w:pPr>
      <w:r>
        <w:rPr>
          <w:b/>
          <w:u w:val="single"/>
        </w:rPr>
        <w:t>Problems and statement of solution</w:t>
      </w:r>
      <w:r>
        <w:t>. Overall ratings of</w:t>
      </w:r>
      <w:r>
        <w:t xml:space="preserve"> faculty members can affect their careers. An important example arises in decisions of how to distribute merit pay raises. But in </w:t>
      </w:r>
      <w:proofErr w:type="gramStart"/>
      <w:r>
        <w:t>general</w:t>
      </w:r>
      <w:proofErr w:type="gramEnd"/>
      <w:r>
        <w:t xml:space="preserve"> any instance where</w:t>
      </w:r>
      <w:r>
        <w:rPr>
          <w:spacing w:val="-8"/>
        </w:rPr>
        <w:t xml:space="preserve"> </w:t>
      </w:r>
      <w:r>
        <w:t>overall</w:t>
      </w:r>
      <w:r>
        <w:rPr>
          <w:spacing w:val="-8"/>
        </w:rPr>
        <w:t xml:space="preserve"> </w:t>
      </w:r>
      <w:r>
        <w:t>ratings</w:t>
      </w:r>
      <w:r>
        <w:rPr>
          <w:spacing w:val="-9"/>
        </w:rPr>
        <w:t xml:space="preserve"> </w:t>
      </w:r>
      <w:r>
        <w:t>can</w:t>
      </w:r>
      <w:r>
        <w:rPr>
          <w:spacing w:val="-9"/>
        </w:rPr>
        <w:t xml:space="preserve"> </w:t>
      </w:r>
      <w:r>
        <w:t>affect</w:t>
      </w:r>
      <w:r>
        <w:rPr>
          <w:spacing w:val="-9"/>
        </w:rPr>
        <w:t xml:space="preserve"> </w:t>
      </w:r>
      <w:r>
        <w:t>careers</w:t>
      </w:r>
      <w:r>
        <w:rPr>
          <w:spacing w:val="-9"/>
        </w:rPr>
        <w:t xml:space="preserve"> </w:t>
      </w:r>
      <w:r>
        <w:t>requires</w:t>
      </w:r>
      <w:r>
        <w:rPr>
          <w:spacing w:val="-8"/>
        </w:rPr>
        <w:t xml:space="preserve"> </w:t>
      </w:r>
      <w:r>
        <w:t>separate,</w:t>
      </w:r>
      <w:r>
        <w:rPr>
          <w:spacing w:val="-8"/>
        </w:rPr>
        <w:t xml:space="preserve"> </w:t>
      </w:r>
      <w:r>
        <w:t>careful</w:t>
      </w:r>
      <w:r>
        <w:rPr>
          <w:spacing w:val="-9"/>
        </w:rPr>
        <w:t xml:space="preserve"> </w:t>
      </w:r>
      <w:r>
        <w:t>evaluation;</w:t>
      </w:r>
      <w:r>
        <w:rPr>
          <w:spacing w:val="-8"/>
        </w:rPr>
        <w:t xml:space="preserve"> </w:t>
      </w:r>
      <w:r>
        <w:t>the</w:t>
      </w:r>
      <w:r>
        <w:rPr>
          <w:spacing w:val="-8"/>
        </w:rPr>
        <w:t xml:space="preserve"> </w:t>
      </w:r>
      <w:r>
        <w:t>outcome</w:t>
      </w:r>
      <w:r>
        <w:rPr>
          <w:spacing w:val="-7"/>
        </w:rPr>
        <w:t xml:space="preserve"> </w:t>
      </w:r>
      <w:r>
        <w:t>is</w:t>
      </w:r>
      <w:r>
        <w:rPr>
          <w:spacing w:val="-9"/>
        </w:rPr>
        <w:t xml:space="preserve"> </w:t>
      </w:r>
      <w:r>
        <w:t>likely</w:t>
      </w:r>
      <w:r>
        <w:rPr>
          <w:spacing w:val="-8"/>
        </w:rPr>
        <w:t xml:space="preserve"> </w:t>
      </w:r>
      <w:r>
        <w:t>to</w:t>
      </w:r>
      <w:r>
        <w:rPr>
          <w:spacing w:val="-9"/>
        </w:rPr>
        <w:t xml:space="preserve"> </w:t>
      </w:r>
      <w:r>
        <w:t>be consistent with the yearly overall ratings of the faculty member, but those ratings can never</w:t>
      </w:r>
      <w:r>
        <w:rPr>
          <w:spacing w:val="49"/>
        </w:rPr>
        <w:t xml:space="preserve"> </w:t>
      </w:r>
      <w:r>
        <w:t>substitute</w:t>
      </w:r>
    </w:p>
    <w:p w14:paraId="488A645E" w14:textId="345AA65C" w:rsidR="001B4512" w:rsidRDefault="00EC0EFD">
      <w:pPr>
        <w:pStyle w:val="BodyText"/>
        <w:spacing w:before="11"/>
        <w:ind w:left="0"/>
        <w:rPr>
          <w:sz w:val="10"/>
        </w:rPr>
      </w:pPr>
      <w:r>
        <w:rPr>
          <w:noProof/>
        </w:rPr>
        <mc:AlternateContent>
          <mc:Choice Requires="wps">
            <w:drawing>
              <wp:anchor distT="0" distB="0" distL="0" distR="0" simplePos="0" relativeHeight="251657728" behindDoc="1" locked="0" layoutInCell="1" allowOverlap="1" wp14:anchorId="649A9BAC" wp14:editId="57C7F54F">
                <wp:simplePos x="0" y="0"/>
                <wp:positionH relativeFrom="page">
                  <wp:posOffset>685800</wp:posOffset>
                </wp:positionH>
                <wp:positionV relativeFrom="paragraph">
                  <wp:posOffset>114935</wp:posOffset>
                </wp:positionV>
                <wp:extent cx="1828800" cy="1270"/>
                <wp:effectExtent l="0" t="0" r="0" b="0"/>
                <wp:wrapTopAndBottom/>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087E" id="Freeform 2" o:spid="_x0000_s1026" alt="&quot;&quot;" style="position:absolute;margin-left:54pt;margin-top:9.0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" path="m,l2880,e" filled="f" strokeweight=".72pt">
                <v:path arrowok="t" o:connecttype="custom" o:connectlocs="0,0;1828800,0" o:connectangles="0,0"/>
                <w10:wrap type="topAndBottom" anchorx="page"/>
              </v:shape>
            </w:pict>
          </mc:Fallback>
        </mc:AlternateContent>
      </w:r>
    </w:p>
    <w:p w14:paraId="003949D6" w14:textId="77777777" w:rsidR="001B4512" w:rsidRDefault="00EC0EFD">
      <w:pPr>
        <w:spacing w:before="67"/>
        <w:ind w:left="120"/>
        <w:rPr>
          <w:sz w:val="20"/>
        </w:rPr>
      </w:pPr>
      <w:proofErr w:type="gramStart"/>
      <w:r>
        <w:rPr>
          <w:position w:val="7"/>
          <w:sz w:val="13"/>
        </w:rPr>
        <w:t xml:space="preserve">1 </w:t>
      </w:r>
      <w:r>
        <w:rPr>
          <w:sz w:val="20"/>
        </w:rPr>
        <w:t>.</w:t>
      </w:r>
      <w:proofErr w:type="gramEnd"/>
      <w:r>
        <w:rPr>
          <w:sz w:val="20"/>
        </w:rPr>
        <w:t xml:space="preserve"> ISU procedure is at </w:t>
      </w:r>
      <w:hyperlink r:id="rId6">
        <w:r>
          <w:rPr>
            <w:color w:val="0563C1"/>
            <w:sz w:val="20"/>
            <w:u w:val="single" w:color="0563C1"/>
          </w:rPr>
          <w:t>http://www.isu.edu/acadaff/faculty_evaluations.shtml</w:t>
        </w:r>
        <w:r>
          <w:rPr>
            <w:sz w:val="20"/>
          </w:rPr>
          <w:t xml:space="preserve">; </w:t>
        </w:r>
      </w:hyperlink>
      <w:r>
        <w:rPr>
          <w:sz w:val="20"/>
        </w:rPr>
        <w:t xml:space="preserve">Northwest Commission policy is located at </w:t>
      </w:r>
      <w:hyperlink r:id="rId7">
        <w:r>
          <w:rPr>
            <w:color w:val="0563C1"/>
            <w:sz w:val="20"/>
            <w:u w:val="single" w:color="0563C1"/>
          </w:rPr>
          <w:t>http://www.nwccu.org/Standards%20and%20Policies/Standard%202/Standard%20Two.htm</w:t>
        </w:r>
      </w:hyperlink>
    </w:p>
    <w:p w14:paraId="30D2487F" w14:textId="77777777" w:rsidR="001B4512" w:rsidRDefault="001B4512">
      <w:pPr>
        <w:rPr>
          <w:sz w:val="20"/>
        </w:rPr>
        <w:sectPr w:rsidR="001B4512">
          <w:type w:val="continuous"/>
          <w:pgSz w:w="12240" w:h="15840"/>
          <w:pgMar w:top="720" w:right="960" w:bottom="280" w:left="960" w:header="720" w:footer="720" w:gutter="0"/>
          <w:cols w:space="720"/>
        </w:sectPr>
      </w:pPr>
    </w:p>
    <w:p w14:paraId="0E33FAFF" w14:textId="77777777" w:rsidR="001B4512" w:rsidRDefault="00EC0EFD">
      <w:pPr>
        <w:pStyle w:val="BodyText"/>
        <w:spacing w:before="39" w:line="259" w:lineRule="auto"/>
        <w:ind w:left="119" w:right="117"/>
        <w:jc w:val="both"/>
      </w:pPr>
      <w:r>
        <w:lastRenderedPageBreak/>
        <w:t>for the slower and more careful process. In particular, a pattern of high ratings in one department relative to another is no indication that faculty in</w:t>
      </w:r>
      <w:r>
        <w:t xml:space="preserve"> the first department perform better than those in the other. Were faculty in departments with higher ratings to benefit even to a small degree, the long‐term effect would be inflated ratings with the consequence of less effective management in the College</w:t>
      </w:r>
      <w:r>
        <w:t>.</w:t>
      </w:r>
    </w:p>
    <w:p w14:paraId="7B30B5BE" w14:textId="77777777" w:rsidR="001B4512" w:rsidRDefault="00EC0EFD">
      <w:pPr>
        <w:pStyle w:val="BodyText"/>
        <w:spacing w:before="159" w:line="259" w:lineRule="auto"/>
        <w:ind w:left="119" w:right="117"/>
        <w:jc w:val="both"/>
      </w:pPr>
      <w:r>
        <w:t>The similarity between the five‐tier overall ratings and the superior/satisfactory/unsatisfactory ratings that the College requires in promotion and tenure cases introduces the question: How are the two schemes related? The answer is that they are distin</w:t>
      </w:r>
      <w:r>
        <w:t>ct. Summary ratings on annual evaluations neither assure</w:t>
      </w:r>
      <w:r>
        <w:rPr>
          <w:spacing w:val="-16"/>
        </w:rPr>
        <w:t xml:space="preserve"> </w:t>
      </w:r>
      <w:r>
        <w:t>nor</w:t>
      </w:r>
      <w:r>
        <w:rPr>
          <w:spacing w:val="-15"/>
        </w:rPr>
        <w:t xml:space="preserve"> </w:t>
      </w:r>
      <w:r>
        <w:t>preclude</w:t>
      </w:r>
      <w:r>
        <w:rPr>
          <w:spacing w:val="-13"/>
        </w:rPr>
        <w:t xml:space="preserve"> </w:t>
      </w:r>
      <w:r>
        <w:t>tenure</w:t>
      </w:r>
      <w:r>
        <w:rPr>
          <w:spacing w:val="-15"/>
        </w:rPr>
        <w:t xml:space="preserve"> </w:t>
      </w:r>
      <w:r>
        <w:t>or</w:t>
      </w:r>
      <w:r>
        <w:rPr>
          <w:spacing w:val="-15"/>
        </w:rPr>
        <w:t xml:space="preserve"> </w:t>
      </w:r>
      <w:r>
        <w:t>promotion.</w:t>
      </w:r>
      <w:r>
        <w:rPr>
          <w:spacing w:val="-16"/>
        </w:rPr>
        <w:t xml:space="preserve"> </w:t>
      </w:r>
      <w:r>
        <w:t>Evaluation</w:t>
      </w:r>
      <w:r>
        <w:rPr>
          <w:spacing w:val="-15"/>
        </w:rPr>
        <w:t xml:space="preserve"> </w:t>
      </w:r>
      <w:r>
        <w:t>for</w:t>
      </w:r>
      <w:r>
        <w:rPr>
          <w:spacing w:val="-15"/>
        </w:rPr>
        <w:t xml:space="preserve"> </w:t>
      </w:r>
      <w:r>
        <w:t>promotion</w:t>
      </w:r>
      <w:r>
        <w:rPr>
          <w:spacing w:val="-15"/>
        </w:rPr>
        <w:t xml:space="preserve"> </w:t>
      </w:r>
      <w:r>
        <w:t>or</w:t>
      </w:r>
      <w:r>
        <w:rPr>
          <w:spacing w:val="-15"/>
        </w:rPr>
        <w:t xml:space="preserve"> </w:t>
      </w:r>
      <w:r>
        <w:t>tenure</w:t>
      </w:r>
      <w:r>
        <w:rPr>
          <w:spacing w:val="-15"/>
        </w:rPr>
        <w:t xml:space="preserve"> </w:t>
      </w:r>
      <w:r>
        <w:t>is</w:t>
      </w:r>
      <w:r>
        <w:rPr>
          <w:spacing w:val="-16"/>
        </w:rPr>
        <w:t xml:space="preserve"> </w:t>
      </w:r>
      <w:r>
        <w:t>a</w:t>
      </w:r>
      <w:r>
        <w:rPr>
          <w:spacing w:val="-16"/>
        </w:rPr>
        <w:t xml:space="preserve"> </w:t>
      </w:r>
      <w:r>
        <w:t>more</w:t>
      </w:r>
      <w:r>
        <w:rPr>
          <w:spacing w:val="-15"/>
        </w:rPr>
        <w:t xml:space="preserve"> </w:t>
      </w:r>
      <w:r>
        <w:t>thorough</w:t>
      </w:r>
      <w:r>
        <w:rPr>
          <w:spacing w:val="-15"/>
        </w:rPr>
        <w:t xml:space="preserve"> </w:t>
      </w:r>
      <w:r>
        <w:t>process than is the annual evaluation process, involving study of the candidate’s work in all job‐related areas by department and college committees in addition to the Chair and Dean. Recommendations at all levels must be based on the entire body of eviden</w:t>
      </w:r>
      <w:r>
        <w:t>ce of the candidate's performance, regardless of whether that is consistent with the candidate’s ratings in annual evaluations. To consider the Chair’s and Dean’s annual performance evaluations as dictating a tenure and promotion decision would be inapprop</w:t>
      </w:r>
      <w:r>
        <w:t>riate, although the annual evaluations can be expected to provide guidance toward tenure and</w:t>
      </w:r>
      <w:r>
        <w:rPr>
          <w:spacing w:val="-28"/>
        </w:rPr>
        <w:t xml:space="preserve"> </w:t>
      </w:r>
      <w:r>
        <w:t>promotion.</w:t>
      </w:r>
    </w:p>
    <w:p w14:paraId="16B92134" w14:textId="77777777" w:rsidR="001B4512" w:rsidRDefault="00EC0EFD">
      <w:pPr>
        <w:spacing w:before="157" w:line="259" w:lineRule="auto"/>
        <w:ind w:left="120" w:right="119"/>
        <w:jc w:val="both"/>
        <w:rPr>
          <w:sz w:val="24"/>
        </w:rPr>
      </w:pPr>
      <w:r>
        <w:rPr>
          <w:b/>
          <w:sz w:val="24"/>
          <w:u w:val="single"/>
        </w:rPr>
        <w:t>Overall Annual Performance Ratings</w:t>
      </w:r>
      <w:r>
        <w:rPr>
          <w:b/>
          <w:sz w:val="24"/>
        </w:rPr>
        <w:t xml:space="preserve">. </w:t>
      </w:r>
      <w:r>
        <w:rPr>
          <w:sz w:val="24"/>
        </w:rPr>
        <w:t>The overall performance ratings are described as follows in the evaluation form:</w:t>
      </w:r>
    </w:p>
    <w:p w14:paraId="573B8003" w14:textId="77777777" w:rsidR="001B4512" w:rsidRDefault="00EC0EFD">
      <w:pPr>
        <w:pStyle w:val="ListParagraph"/>
        <w:numPr>
          <w:ilvl w:val="0"/>
          <w:numId w:val="1"/>
        </w:numPr>
        <w:tabs>
          <w:tab w:val="left" w:pos="840"/>
        </w:tabs>
        <w:spacing w:before="160" w:line="259" w:lineRule="auto"/>
        <w:ind w:right="117"/>
        <w:jc w:val="both"/>
        <w:rPr>
          <w:rFonts w:ascii="Symbol" w:hAnsi="Symbol"/>
          <w:sz w:val="24"/>
        </w:rPr>
      </w:pPr>
      <w:r>
        <w:rPr>
          <w:b/>
          <w:sz w:val="24"/>
        </w:rPr>
        <w:t xml:space="preserve">Performance is Exceptional </w:t>
      </w:r>
      <w:r>
        <w:rPr>
          <w:sz w:val="24"/>
        </w:rPr>
        <w:t>(denotes</w:t>
      </w:r>
      <w:r>
        <w:rPr>
          <w:sz w:val="24"/>
        </w:rPr>
        <w:t xml:space="preserve"> extraordinary performance that is well beyond that expected of faculty member relative to current faculty rank and position</w:t>
      </w:r>
      <w:r>
        <w:rPr>
          <w:spacing w:val="-17"/>
          <w:sz w:val="24"/>
        </w:rPr>
        <w:t xml:space="preserve"> </w:t>
      </w:r>
      <w:r>
        <w:rPr>
          <w:sz w:val="24"/>
        </w:rPr>
        <w:t>description)</w:t>
      </w:r>
    </w:p>
    <w:p w14:paraId="20AACECE" w14:textId="77777777" w:rsidR="001B4512" w:rsidRDefault="00EC0EFD">
      <w:pPr>
        <w:pStyle w:val="ListParagraph"/>
        <w:numPr>
          <w:ilvl w:val="0"/>
          <w:numId w:val="1"/>
        </w:numPr>
        <w:tabs>
          <w:tab w:val="left" w:pos="840"/>
        </w:tabs>
        <w:spacing w:line="256" w:lineRule="auto"/>
        <w:ind w:right="117"/>
        <w:jc w:val="both"/>
        <w:rPr>
          <w:rFonts w:ascii="Symbol" w:hAnsi="Symbol"/>
          <w:sz w:val="24"/>
        </w:rPr>
      </w:pPr>
      <w:r>
        <w:rPr>
          <w:b/>
          <w:sz w:val="24"/>
        </w:rPr>
        <w:t xml:space="preserve">Performance is Above Expectations </w:t>
      </w:r>
      <w:r>
        <w:rPr>
          <w:sz w:val="24"/>
        </w:rPr>
        <w:t>(denotes performance that is better than expected of a faculty member relative to cu</w:t>
      </w:r>
      <w:r>
        <w:rPr>
          <w:sz w:val="24"/>
        </w:rPr>
        <w:t>rrent faculty rank and position</w:t>
      </w:r>
      <w:r>
        <w:rPr>
          <w:spacing w:val="-9"/>
          <w:sz w:val="24"/>
        </w:rPr>
        <w:t xml:space="preserve"> </w:t>
      </w:r>
      <w:r>
        <w:rPr>
          <w:sz w:val="24"/>
        </w:rPr>
        <w:t>description)</w:t>
      </w:r>
    </w:p>
    <w:p w14:paraId="53CC74E6" w14:textId="77777777" w:rsidR="001B4512" w:rsidRDefault="00EC0EFD">
      <w:pPr>
        <w:pStyle w:val="ListParagraph"/>
        <w:numPr>
          <w:ilvl w:val="0"/>
          <w:numId w:val="1"/>
        </w:numPr>
        <w:tabs>
          <w:tab w:val="left" w:pos="840"/>
        </w:tabs>
        <w:spacing w:before="6" w:line="256" w:lineRule="auto"/>
        <w:ind w:right="119"/>
        <w:jc w:val="both"/>
        <w:rPr>
          <w:rFonts w:ascii="Symbol" w:hAnsi="Symbol"/>
          <w:sz w:val="24"/>
        </w:rPr>
      </w:pPr>
      <w:r>
        <w:rPr>
          <w:b/>
          <w:sz w:val="24"/>
        </w:rPr>
        <w:t xml:space="preserve">Performance Meets Expectations </w:t>
      </w:r>
      <w:r>
        <w:rPr>
          <w:sz w:val="24"/>
        </w:rPr>
        <w:t>(denotes performance expected of a faculty member relative to current faculty rank and position description; performance that can be defined as</w:t>
      </w:r>
      <w:r>
        <w:rPr>
          <w:spacing w:val="-39"/>
          <w:sz w:val="24"/>
        </w:rPr>
        <w:t xml:space="preserve"> </w:t>
      </w:r>
      <w:r>
        <w:rPr>
          <w:sz w:val="24"/>
        </w:rPr>
        <w:t>normative)</w:t>
      </w:r>
    </w:p>
    <w:p w14:paraId="65AD8101" w14:textId="77777777" w:rsidR="001B4512" w:rsidRDefault="00EC0EFD">
      <w:pPr>
        <w:pStyle w:val="ListParagraph"/>
        <w:numPr>
          <w:ilvl w:val="0"/>
          <w:numId w:val="1"/>
        </w:numPr>
        <w:tabs>
          <w:tab w:val="left" w:pos="840"/>
        </w:tabs>
        <w:spacing w:before="4" w:line="259" w:lineRule="auto"/>
        <w:ind w:left="839" w:right="117"/>
        <w:jc w:val="both"/>
        <w:rPr>
          <w:rFonts w:ascii="Symbol" w:hAnsi="Symbol"/>
          <w:sz w:val="24"/>
        </w:rPr>
      </w:pPr>
      <w:r>
        <w:rPr>
          <w:b/>
          <w:sz w:val="24"/>
        </w:rPr>
        <w:t>Performance</w:t>
      </w:r>
      <w:r>
        <w:rPr>
          <w:b/>
          <w:spacing w:val="-6"/>
          <w:sz w:val="24"/>
        </w:rPr>
        <w:t xml:space="preserve"> </w:t>
      </w:r>
      <w:r>
        <w:rPr>
          <w:b/>
          <w:sz w:val="24"/>
        </w:rPr>
        <w:t>is</w:t>
      </w:r>
      <w:r>
        <w:rPr>
          <w:b/>
          <w:spacing w:val="-6"/>
          <w:sz w:val="24"/>
        </w:rPr>
        <w:t xml:space="preserve"> </w:t>
      </w:r>
      <w:r>
        <w:rPr>
          <w:b/>
          <w:sz w:val="24"/>
        </w:rPr>
        <w:t>Below</w:t>
      </w:r>
      <w:r>
        <w:rPr>
          <w:b/>
          <w:spacing w:val="-7"/>
          <w:sz w:val="24"/>
        </w:rPr>
        <w:t xml:space="preserve"> </w:t>
      </w:r>
      <w:r>
        <w:rPr>
          <w:b/>
          <w:sz w:val="24"/>
        </w:rPr>
        <w:t>Expe</w:t>
      </w:r>
      <w:r>
        <w:rPr>
          <w:b/>
          <w:sz w:val="24"/>
        </w:rPr>
        <w:t>ctations</w:t>
      </w:r>
      <w:r>
        <w:rPr>
          <w:b/>
          <w:spacing w:val="-6"/>
          <w:sz w:val="24"/>
        </w:rPr>
        <w:t xml:space="preserve"> </w:t>
      </w:r>
      <w:r>
        <w:rPr>
          <w:sz w:val="24"/>
        </w:rPr>
        <w:t>(denotes</w:t>
      </w:r>
      <w:r>
        <w:rPr>
          <w:spacing w:val="-7"/>
          <w:sz w:val="24"/>
        </w:rPr>
        <w:t xml:space="preserve"> </w:t>
      </w:r>
      <w:r>
        <w:rPr>
          <w:sz w:val="24"/>
        </w:rPr>
        <w:t>performance</w:t>
      </w:r>
      <w:r>
        <w:rPr>
          <w:spacing w:val="-5"/>
          <w:sz w:val="24"/>
        </w:rPr>
        <w:t xml:space="preserve"> </w:t>
      </w:r>
      <w:r>
        <w:rPr>
          <w:sz w:val="24"/>
        </w:rPr>
        <w:t>that</w:t>
      </w:r>
      <w:r>
        <w:rPr>
          <w:spacing w:val="-6"/>
          <w:sz w:val="24"/>
        </w:rPr>
        <w:t xml:space="preserve"> </w:t>
      </w:r>
      <w:r>
        <w:rPr>
          <w:sz w:val="24"/>
        </w:rPr>
        <w:t>is</w:t>
      </w:r>
      <w:r>
        <w:rPr>
          <w:spacing w:val="-6"/>
          <w:sz w:val="24"/>
        </w:rPr>
        <w:t xml:space="preserve"> </w:t>
      </w:r>
      <w:r>
        <w:rPr>
          <w:sz w:val="24"/>
        </w:rPr>
        <w:t>less</w:t>
      </w:r>
      <w:r>
        <w:rPr>
          <w:spacing w:val="-6"/>
          <w:sz w:val="24"/>
        </w:rPr>
        <w:t xml:space="preserve"> </w:t>
      </w:r>
      <w:r>
        <w:rPr>
          <w:sz w:val="24"/>
        </w:rPr>
        <w:t>than</w:t>
      </w:r>
      <w:r>
        <w:rPr>
          <w:spacing w:val="-7"/>
          <w:sz w:val="24"/>
        </w:rPr>
        <w:t xml:space="preserve"> </w:t>
      </w:r>
      <w:r>
        <w:rPr>
          <w:sz w:val="24"/>
        </w:rPr>
        <w:t>expected</w:t>
      </w:r>
      <w:r>
        <w:rPr>
          <w:spacing w:val="-9"/>
          <w:sz w:val="24"/>
        </w:rPr>
        <w:t xml:space="preserve"> </w:t>
      </w:r>
      <w:r>
        <w:rPr>
          <w:sz w:val="24"/>
        </w:rPr>
        <w:t>of</w:t>
      </w:r>
      <w:r>
        <w:rPr>
          <w:spacing w:val="-6"/>
          <w:sz w:val="24"/>
        </w:rPr>
        <w:t xml:space="preserve"> </w:t>
      </w:r>
      <w:r>
        <w:rPr>
          <w:sz w:val="24"/>
        </w:rPr>
        <w:t>a</w:t>
      </w:r>
      <w:r>
        <w:rPr>
          <w:spacing w:val="-6"/>
          <w:sz w:val="24"/>
        </w:rPr>
        <w:t xml:space="preserve"> </w:t>
      </w:r>
      <w:r>
        <w:rPr>
          <w:sz w:val="24"/>
        </w:rPr>
        <w:t>faculty member relative to current faculty rank and position description; this rating means that improvement in level of performance is</w:t>
      </w:r>
      <w:r>
        <w:rPr>
          <w:spacing w:val="-3"/>
          <w:sz w:val="24"/>
        </w:rPr>
        <w:t xml:space="preserve"> </w:t>
      </w:r>
      <w:r>
        <w:rPr>
          <w:sz w:val="24"/>
        </w:rPr>
        <w:t>necessary)</w:t>
      </w:r>
    </w:p>
    <w:p w14:paraId="4C3B0151" w14:textId="77777777" w:rsidR="001B4512" w:rsidRDefault="00EC0EFD">
      <w:pPr>
        <w:pStyle w:val="ListParagraph"/>
        <w:numPr>
          <w:ilvl w:val="0"/>
          <w:numId w:val="1"/>
        </w:numPr>
        <w:tabs>
          <w:tab w:val="left" w:pos="840"/>
        </w:tabs>
        <w:spacing w:line="259" w:lineRule="auto"/>
        <w:ind w:right="116"/>
        <w:jc w:val="both"/>
        <w:rPr>
          <w:rFonts w:ascii="Symbol" w:hAnsi="Symbol"/>
          <w:sz w:val="24"/>
        </w:rPr>
      </w:pPr>
      <w:r>
        <w:rPr>
          <w:b/>
          <w:sz w:val="24"/>
        </w:rPr>
        <w:t xml:space="preserve">Performance is Unacceptable </w:t>
      </w:r>
      <w:r>
        <w:rPr>
          <w:sz w:val="24"/>
        </w:rPr>
        <w:t>(denotes that performance level is not acceptable relative to that expected of a faculty member and/or performance is inconsistent with the conditions for continued employment with the Institution; this rating will trigger a full performance</w:t>
      </w:r>
      <w:r>
        <w:rPr>
          <w:spacing w:val="-29"/>
          <w:sz w:val="24"/>
        </w:rPr>
        <w:t xml:space="preserve"> </w:t>
      </w:r>
      <w:r>
        <w:rPr>
          <w:sz w:val="24"/>
        </w:rPr>
        <w:t>review)</w:t>
      </w:r>
    </w:p>
    <w:p w14:paraId="0EAE673B" w14:textId="77777777" w:rsidR="001B4512" w:rsidRDefault="00EC0EFD">
      <w:pPr>
        <w:pStyle w:val="BodyText"/>
        <w:spacing w:before="159" w:line="259" w:lineRule="auto"/>
        <w:ind w:left="479" w:right="116"/>
        <w:jc w:val="both"/>
      </w:pPr>
      <w:r>
        <w:t>An</w:t>
      </w:r>
      <w:r>
        <w:rPr>
          <w:spacing w:val="-8"/>
        </w:rPr>
        <w:t xml:space="preserve"> </w:t>
      </w:r>
      <w:r>
        <w:t>att</w:t>
      </w:r>
      <w:r>
        <w:t>empt</w:t>
      </w:r>
      <w:r>
        <w:rPr>
          <w:spacing w:val="-8"/>
        </w:rPr>
        <w:t xml:space="preserve"> </w:t>
      </w:r>
      <w:r>
        <w:t>to</w:t>
      </w:r>
      <w:r>
        <w:rPr>
          <w:spacing w:val="-8"/>
        </w:rPr>
        <w:t xml:space="preserve"> </w:t>
      </w:r>
      <w:r>
        <w:t>define</w:t>
      </w:r>
      <w:r>
        <w:rPr>
          <w:spacing w:val="-6"/>
        </w:rPr>
        <w:t xml:space="preserve"> </w:t>
      </w:r>
      <w:r>
        <w:t>the</w:t>
      </w:r>
      <w:r>
        <w:rPr>
          <w:spacing w:val="-7"/>
        </w:rPr>
        <w:t xml:space="preserve"> </w:t>
      </w:r>
      <w:r>
        <w:t>five</w:t>
      </w:r>
      <w:r>
        <w:rPr>
          <w:spacing w:val="-7"/>
        </w:rPr>
        <w:t xml:space="preserve"> </w:t>
      </w:r>
      <w:r>
        <w:t>ratings</w:t>
      </w:r>
      <w:r>
        <w:rPr>
          <w:spacing w:val="-9"/>
        </w:rPr>
        <w:t xml:space="preserve"> </w:t>
      </w:r>
      <w:r>
        <w:t>more</w:t>
      </w:r>
      <w:r>
        <w:rPr>
          <w:spacing w:val="-7"/>
        </w:rPr>
        <w:t xml:space="preserve"> </w:t>
      </w:r>
      <w:r>
        <w:t>clearly</w:t>
      </w:r>
      <w:r>
        <w:rPr>
          <w:spacing w:val="-7"/>
        </w:rPr>
        <w:t xml:space="preserve"> </w:t>
      </w:r>
      <w:r>
        <w:t>might</w:t>
      </w:r>
      <w:r>
        <w:rPr>
          <w:spacing w:val="-8"/>
        </w:rPr>
        <w:t xml:space="preserve"> </w:t>
      </w:r>
      <w:r>
        <w:t>be</w:t>
      </w:r>
      <w:r>
        <w:rPr>
          <w:spacing w:val="-7"/>
        </w:rPr>
        <w:t xml:space="preserve"> </w:t>
      </w:r>
      <w:r>
        <w:t>based</w:t>
      </w:r>
      <w:r>
        <w:rPr>
          <w:spacing w:val="-6"/>
        </w:rPr>
        <w:t xml:space="preserve"> </w:t>
      </w:r>
      <w:r>
        <w:t>on</w:t>
      </w:r>
      <w:r>
        <w:rPr>
          <w:spacing w:val="-8"/>
        </w:rPr>
        <w:t xml:space="preserve"> </w:t>
      </w:r>
      <w:r>
        <w:t>a</w:t>
      </w:r>
      <w:r>
        <w:rPr>
          <w:spacing w:val="-6"/>
        </w:rPr>
        <w:t xml:space="preserve"> </w:t>
      </w:r>
      <w:r>
        <w:t>statement</w:t>
      </w:r>
      <w:r>
        <w:rPr>
          <w:spacing w:val="-7"/>
        </w:rPr>
        <w:t xml:space="preserve"> </w:t>
      </w:r>
      <w:r>
        <w:t>of</w:t>
      </w:r>
      <w:r>
        <w:rPr>
          <w:spacing w:val="-7"/>
        </w:rPr>
        <w:t xml:space="preserve"> </w:t>
      </w:r>
      <w:r>
        <w:t>what</w:t>
      </w:r>
      <w:r>
        <w:rPr>
          <w:spacing w:val="-8"/>
        </w:rPr>
        <w:t xml:space="preserve"> </w:t>
      </w:r>
      <w:r>
        <w:t>the</w:t>
      </w:r>
      <w:r>
        <w:rPr>
          <w:spacing w:val="-7"/>
        </w:rPr>
        <w:t xml:space="preserve"> </w:t>
      </w:r>
      <w:r>
        <w:t>ratings are supposed to accomplish, but no such foundation is evident in the annual evaluation form. The two possible logical foundations are either that the ratings enf</w:t>
      </w:r>
      <w:r>
        <w:t>orce a scale or quota, with certain proportions</w:t>
      </w:r>
      <w:r>
        <w:rPr>
          <w:spacing w:val="-7"/>
        </w:rPr>
        <w:t xml:space="preserve"> </w:t>
      </w:r>
      <w:r>
        <w:t>of</w:t>
      </w:r>
      <w:r>
        <w:rPr>
          <w:spacing w:val="-9"/>
        </w:rPr>
        <w:t xml:space="preserve"> </w:t>
      </w:r>
      <w:r>
        <w:t>faculty</w:t>
      </w:r>
      <w:r>
        <w:rPr>
          <w:spacing w:val="-9"/>
        </w:rPr>
        <w:t xml:space="preserve"> </w:t>
      </w:r>
      <w:r>
        <w:t>falling</w:t>
      </w:r>
      <w:r>
        <w:rPr>
          <w:spacing w:val="-9"/>
        </w:rPr>
        <w:t xml:space="preserve"> </w:t>
      </w:r>
      <w:r>
        <w:t>into</w:t>
      </w:r>
      <w:r>
        <w:rPr>
          <w:spacing w:val="-10"/>
        </w:rPr>
        <w:t xml:space="preserve"> </w:t>
      </w:r>
      <w:r>
        <w:t>each</w:t>
      </w:r>
      <w:r>
        <w:rPr>
          <w:spacing w:val="-9"/>
        </w:rPr>
        <w:t xml:space="preserve"> </w:t>
      </w:r>
      <w:r>
        <w:t>category,</w:t>
      </w:r>
      <w:r>
        <w:rPr>
          <w:spacing w:val="-10"/>
        </w:rPr>
        <w:t xml:space="preserve"> </w:t>
      </w:r>
      <w:r>
        <w:t>or</w:t>
      </w:r>
      <w:r>
        <w:rPr>
          <w:spacing w:val="-9"/>
        </w:rPr>
        <w:t xml:space="preserve"> </w:t>
      </w:r>
      <w:r>
        <w:t>that</w:t>
      </w:r>
      <w:r>
        <w:rPr>
          <w:spacing w:val="-10"/>
        </w:rPr>
        <w:t xml:space="preserve"> </w:t>
      </w:r>
      <w:r>
        <w:t>they</w:t>
      </w:r>
      <w:r>
        <w:rPr>
          <w:spacing w:val="-7"/>
        </w:rPr>
        <w:t xml:space="preserve"> </w:t>
      </w:r>
      <w:r>
        <w:t>reflect</w:t>
      </w:r>
      <w:r>
        <w:rPr>
          <w:spacing w:val="-10"/>
        </w:rPr>
        <w:t xml:space="preserve"> </w:t>
      </w:r>
      <w:r>
        <w:t>objective</w:t>
      </w:r>
      <w:r>
        <w:rPr>
          <w:spacing w:val="-8"/>
        </w:rPr>
        <w:t xml:space="preserve"> </w:t>
      </w:r>
      <w:r>
        <w:t>standards</w:t>
      </w:r>
      <w:r>
        <w:rPr>
          <w:spacing w:val="-9"/>
        </w:rPr>
        <w:t xml:space="preserve"> </w:t>
      </w:r>
      <w:r>
        <w:t>and</w:t>
      </w:r>
      <w:r>
        <w:rPr>
          <w:spacing w:val="-10"/>
        </w:rPr>
        <w:t xml:space="preserve"> </w:t>
      </w:r>
      <w:r>
        <w:t>so</w:t>
      </w:r>
      <w:r>
        <w:rPr>
          <w:spacing w:val="-9"/>
        </w:rPr>
        <w:t xml:space="preserve"> </w:t>
      </w:r>
      <w:r>
        <w:t>allow any</w:t>
      </w:r>
      <w:r>
        <w:rPr>
          <w:spacing w:val="-7"/>
        </w:rPr>
        <w:t xml:space="preserve"> </w:t>
      </w:r>
      <w:r>
        <w:t>distribution</w:t>
      </w:r>
      <w:r>
        <w:rPr>
          <w:spacing w:val="-5"/>
        </w:rPr>
        <w:t xml:space="preserve"> </w:t>
      </w:r>
      <w:r>
        <w:t>of</w:t>
      </w:r>
      <w:r>
        <w:rPr>
          <w:spacing w:val="-7"/>
        </w:rPr>
        <w:t xml:space="preserve"> </w:t>
      </w:r>
      <w:r>
        <w:t>ratings.</w:t>
      </w:r>
      <w:r>
        <w:rPr>
          <w:spacing w:val="41"/>
        </w:rPr>
        <w:t xml:space="preserve"> </w:t>
      </w:r>
      <w:r>
        <w:t>The</w:t>
      </w:r>
      <w:r>
        <w:rPr>
          <w:spacing w:val="-7"/>
        </w:rPr>
        <w:t xml:space="preserve"> </w:t>
      </w:r>
      <w:r>
        <w:t>categories</w:t>
      </w:r>
      <w:r>
        <w:rPr>
          <w:spacing w:val="-7"/>
        </w:rPr>
        <w:t xml:space="preserve"> </w:t>
      </w:r>
      <w:r>
        <w:t>must</w:t>
      </w:r>
      <w:r>
        <w:rPr>
          <w:spacing w:val="-6"/>
        </w:rPr>
        <w:t xml:space="preserve"> </w:t>
      </w:r>
      <w:r>
        <w:t>be</w:t>
      </w:r>
      <w:r>
        <w:rPr>
          <w:spacing w:val="-7"/>
        </w:rPr>
        <w:t xml:space="preserve"> </w:t>
      </w:r>
      <w:r>
        <w:t>applied</w:t>
      </w:r>
      <w:r>
        <w:rPr>
          <w:spacing w:val="-6"/>
        </w:rPr>
        <w:t xml:space="preserve"> </w:t>
      </w:r>
      <w:r>
        <w:t>objectively</w:t>
      </w:r>
      <w:r>
        <w:rPr>
          <w:spacing w:val="-6"/>
        </w:rPr>
        <w:t xml:space="preserve"> </w:t>
      </w:r>
      <w:r>
        <w:t>for</w:t>
      </w:r>
      <w:r>
        <w:rPr>
          <w:spacing w:val="-7"/>
        </w:rPr>
        <w:t xml:space="preserve"> </w:t>
      </w:r>
      <w:r>
        <w:t>each</w:t>
      </w:r>
      <w:r>
        <w:rPr>
          <w:spacing w:val="-7"/>
        </w:rPr>
        <w:t xml:space="preserve"> </w:t>
      </w:r>
      <w:r>
        <w:t>faculty</w:t>
      </w:r>
      <w:r>
        <w:rPr>
          <w:spacing w:val="-8"/>
        </w:rPr>
        <w:t xml:space="preserve"> </w:t>
      </w:r>
      <w:r>
        <w:t>member,</w:t>
      </w:r>
      <w:r>
        <w:rPr>
          <w:spacing w:val="-6"/>
        </w:rPr>
        <w:t xml:space="preserve"> </w:t>
      </w:r>
      <w:r>
        <w:t xml:space="preserve">and no quotas or rankings are to be applied. </w:t>
      </w:r>
      <w:r>
        <w:rPr>
          <w:i/>
        </w:rPr>
        <w:t xml:space="preserve">Meets expectations </w:t>
      </w:r>
      <w:r>
        <w:t>is the baseline rating and should be assigned</w:t>
      </w:r>
      <w:r>
        <w:rPr>
          <w:spacing w:val="-6"/>
        </w:rPr>
        <w:t xml:space="preserve"> </w:t>
      </w:r>
      <w:r>
        <w:t>to</w:t>
      </w:r>
      <w:r>
        <w:rPr>
          <w:spacing w:val="-5"/>
        </w:rPr>
        <w:t xml:space="preserve"> </w:t>
      </w:r>
      <w:r>
        <w:t>faculty</w:t>
      </w:r>
      <w:r>
        <w:rPr>
          <w:spacing w:val="-4"/>
        </w:rPr>
        <w:t xml:space="preserve"> </w:t>
      </w:r>
      <w:r>
        <w:t>members</w:t>
      </w:r>
      <w:r>
        <w:rPr>
          <w:spacing w:val="-5"/>
        </w:rPr>
        <w:t xml:space="preserve"> </w:t>
      </w:r>
      <w:r>
        <w:t>who</w:t>
      </w:r>
      <w:r>
        <w:rPr>
          <w:spacing w:val="-6"/>
        </w:rPr>
        <w:t xml:space="preserve"> </w:t>
      </w:r>
      <w:r>
        <w:t>are</w:t>
      </w:r>
      <w:r>
        <w:rPr>
          <w:spacing w:val="-5"/>
        </w:rPr>
        <w:t xml:space="preserve"> </w:t>
      </w:r>
      <w:r>
        <w:t>doing</w:t>
      </w:r>
      <w:r>
        <w:rPr>
          <w:spacing w:val="-3"/>
        </w:rPr>
        <w:t xml:space="preserve"> </w:t>
      </w:r>
      <w:r>
        <w:t>very</w:t>
      </w:r>
      <w:r>
        <w:rPr>
          <w:spacing w:val="-5"/>
        </w:rPr>
        <w:t xml:space="preserve"> </w:t>
      </w:r>
      <w:r>
        <w:t>well</w:t>
      </w:r>
      <w:r>
        <w:rPr>
          <w:spacing w:val="-5"/>
        </w:rPr>
        <w:t xml:space="preserve"> </w:t>
      </w:r>
      <w:r>
        <w:t>at</w:t>
      </w:r>
      <w:r>
        <w:rPr>
          <w:spacing w:val="-4"/>
        </w:rPr>
        <w:t xml:space="preserve"> </w:t>
      </w:r>
      <w:r>
        <w:t>all</w:t>
      </w:r>
      <w:r>
        <w:rPr>
          <w:spacing w:val="-5"/>
        </w:rPr>
        <w:t xml:space="preserve"> </w:t>
      </w:r>
      <w:r>
        <w:t>aspects</w:t>
      </w:r>
      <w:r>
        <w:rPr>
          <w:spacing w:val="-6"/>
        </w:rPr>
        <w:t xml:space="preserve"> </w:t>
      </w:r>
      <w:r>
        <w:t>of</w:t>
      </w:r>
      <w:r>
        <w:rPr>
          <w:spacing w:val="-5"/>
        </w:rPr>
        <w:t xml:space="preserve"> </w:t>
      </w:r>
      <w:r>
        <w:t>their</w:t>
      </w:r>
      <w:r>
        <w:rPr>
          <w:spacing w:val="-4"/>
        </w:rPr>
        <w:t xml:space="preserve"> </w:t>
      </w:r>
      <w:r>
        <w:t>jobs.</w:t>
      </w:r>
      <w:r>
        <w:rPr>
          <w:spacing w:val="-4"/>
        </w:rPr>
        <w:t xml:space="preserve"> </w:t>
      </w:r>
      <w:proofErr w:type="gramStart"/>
      <w:r>
        <w:t>Thus</w:t>
      </w:r>
      <w:proofErr w:type="gramEnd"/>
      <w:r>
        <w:rPr>
          <w:spacing w:val="-5"/>
        </w:rPr>
        <w:t xml:space="preserve"> </w:t>
      </w:r>
      <w:r>
        <w:t>the</w:t>
      </w:r>
      <w:r>
        <w:rPr>
          <w:spacing w:val="-4"/>
        </w:rPr>
        <w:t xml:space="preserve"> </w:t>
      </w:r>
      <w:r>
        <w:t>ratings</w:t>
      </w:r>
      <w:r>
        <w:rPr>
          <w:spacing w:val="-5"/>
        </w:rPr>
        <w:t xml:space="preserve"> </w:t>
      </w:r>
      <w:r>
        <w:t>are to be understood as</w:t>
      </w:r>
      <w:r>
        <w:rPr>
          <w:spacing w:val="-2"/>
        </w:rPr>
        <w:t xml:space="preserve"> </w:t>
      </w:r>
      <w:r>
        <w:t>follows:</w:t>
      </w:r>
    </w:p>
    <w:p w14:paraId="53BAFE00" w14:textId="77777777" w:rsidR="001B4512" w:rsidRDefault="00EC0EFD">
      <w:pPr>
        <w:pStyle w:val="ListParagraph"/>
        <w:numPr>
          <w:ilvl w:val="0"/>
          <w:numId w:val="1"/>
        </w:numPr>
        <w:tabs>
          <w:tab w:val="left" w:pos="840"/>
        </w:tabs>
        <w:spacing w:before="157" w:line="276" w:lineRule="auto"/>
        <w:ind w:left="839" w:right="116"/>
        <w:jc w:val="both"/>
        <w:rPr>
          <w:rFonts w:ascii="Symbol" w:hAnsi="Symbol"/>
          <w:sz w:val="24"/>
        </w:rPr>
      </w:pPr>
      <w:r>
        <w:rPr>
          <w:b/>
          <w:sz w:val="24"/>
        </w:rPr>
        <w:t>Meets</w:t>
      </w:r>
      <w:r>
        <w:rPr>
          <w:b/>
          <w:spacing w:val="-6"/>
          <w:sz w:val="24"/>
        </w:rPr>
        <w:t xml:space="preserve"> </w:t>
      </w:r>
      <w:r>
        <w:rPr>
          <w:b/>
          <w:sz w:val="24"/>
        </w:rPr>
        <w:t>Expectations:</w:t>
      </w:r>
      <w:r>
        <w:rPr>
          <w:b/>
          <w:spacing w:val="-6"/>
          <w:sz w:val="24"/>
        </w:rPr>
        <w:t xml:space="preserve"> </w:t>
      </w:r>
      <w:r>
        <w:rPr>
          <w:i/>
          <w:sz w:val="24"/>
        </w:rPr>
        <w:t>Meets</w:t>
      </w:r>
      <w:r>
        <w:rPr>
          <w:i/>
          <w:spacing w:val="-7"/>
          <w:sz w:val="24"/>
        </w:rPr>
        <w:t xml:space="preserve"> </w:t>
      </w:r>
      <w:r>
        <w:rPr>
          <w:i/>
          <w:sz w:val="24"/>
        </w:rPr>
        <w:t>Expectations</w:t>
      </w:r>
      <w:r>
        <w:rPr>
          <w:i/>
          <w:spacing w:val="-5"/>
          <w:sz w:val="24"/>
        </w:rPr>
        <w:t xml:space="preserve"> </w:t>
      </w:r>
      <w:r>
        <w:rPr>
          <w:sz w:val="24"/>
        </w:rPr>
        <w:t>is</w:t>
      </w:r>
      <w:r>
        <w:rPr>
          <w:spacing w:val="-6"/>
          <w:sz w:val="24"/>
        </w:rPr>
        <w:t xml:space="preserve"> </w:t>
      </w:r>
      <w:r>
        <w:rPr>
          <w:sz w:val="24"/>
        </w:rPr>
        <w:t>a</w:t>
      </w:r>
      <w:r>
        <w:rPr>
          <w:spacing w:val="-5"/>
          <w:sz w:val="24"/>
        </w:rPr>
        <w:t xml:space="preserve"> </w:t>
      </w:r>
      <w:r>
        <w:rPr>
          <w:sz w:val="24"/>
        </w:rPr>
        <w:t>very</w:t>
      </w:r>
      <w:r>
        <w:rPr>
          <w:spacing w:val="-6"/>
          <w:sz w:val="24"/>
        </w:rPr>
        <w:t xml:space="preserve"> </w:t>
      </w:r>
      <w:r>
        <w:rPr>
          <w:sz w:val="24"/>
        </w:rPr>
        <w:t>good</w:t>
      </w:r>
      <w:r>
        <w:rPr>
          <w:spacing w:val="-6"/>
          <w:sz w:val="24"/>
        </w:rPr>
        <w:t xml:space="preserve"> </w:t>
      </w:r>
      <w:r>
        <w:rPr>
          <w:sz w:val="24"/>
        </w:rPr>
        <w:t>rating.</w:t>
      </w:r>
      <w:r>
        <w:rPr>
          <w:spacing w:val="-7"/>
          <w:sz w:val="24"/>
        </w:rPr>
        <w:t xml:space="preserve"> </w:t>
      </w:r>
      <w:r>
        <w:rPr>
          <w:sz w:val="24"/>
        </w:rPr>
        <w:t>It</w:t>
      </w:r>
      <w:r>
        <w:rPr>
          <w:spacing w:val="-5"/>
          <w:sz w:val="24"/>
        </w:rPr>
        <w:t xml:space="preserve"> </w:t>
      </w:r>
      <w:r>
        <w:rPr>
          <w:sz w:val="24"/>
        </w:rPr>
        <w:t>says</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faculty</w:t>
      </w:r>
      <w:r>
        <w:rPr>
          <w:spacing w:val="-5"/>
          <w:sz w:val="24"/>
        </w:rPr>
        <w:t xml:space="preserve"> </w:t>
      </w:r>
      <w:r>
        <w:rPr>
          <w:sz w:val="24"/>
        </w:rPr>
        <w:t>member</w:t>
      </w:r>
      <w:r>
        <w:rPr>
          <w:spacing w:val="-6"/>
          <w:sz w:val="24"/>
        </w:rPr>
        <w:t xml:space="preserve"> </w:t>
      </w:r>
      <w:r>
        <w:rPr>
          <w:sz w:val="24"/>
        </w:rPr>
        <w:t xml:space="preserve">that she or he has performed well in their job and in so doing is eligible for a merit raise. The </w:t>
      </w:r>
      <w:r>
        <w:rPr>
          <w:i/>
          <w:sz w:val="24"/>
        </w:rPr>
        <w:t xml:space="preserve">Meets Expectations </w:t>
      </w:r>
      <w:r>
        <w:rPr>
          <w:sz w:val="24"/>
        </w:rPr>
        <w:t xml:space="preserve">rating is not to be interpreted as a veiled way of concluding that </w:t>
      </w:r>
      <w:r>
        <w:rPr>
          <w:sz w:val="24"/>
        </w:rPr>
        <w:t>performance is sub‐standard. In light of the selective way in which faculty hiring is done, performance expectations are necessarily high, and this rating is likely to be the most common</w:t>
      </w:r>
      <w:r>
        <w:rPr>
          <w:spacing w:val="-20"/>
          <w:sz w:val="24"/>
        </w:rPr>
        <w:t xml:space="preserve"> </w:t>
      </w:r>
      <w:r>
        <w:rPr>
          <w:sz w:val="24"/>
        </w:rPr>
        <w:t>rating.</w:t>
      </w:r>
    </w:p>
    <w:p w14:paraId="47AF2F59" w14:textId="77777777" w:rsidR="001B4512" w:rsidRDefault="001B4512">
      <w:pPr>
        <w:spacing w:line="276" w:lineRule="auto"/>
        <w:jc w:val="both"/>
        <w:rPr>
          <w:rFonts w:ascii="Symbol" w:hAnsi="Symbol"/>
          <w:sz w:val="24"/>
        </w:rPr>
        <w:sectPr w:rsidR="001B4512">
          <w:pgSz w:w="12240" w:h="15840"/>
          <w:pgMar w:top="680" w:right="960" w:bottom="280" w:left="960" w:header="720" w:footer="720" w:gutter="0"/>
          <w:cols w:space="720"/>
        </w:sectPr>
      </w:pPr>
    </w:p>
    <w:p w14:paraId="26B85202" w14:textId="77777777" w:rsidR="001B4512" w:rsidRDefault="00EC0EFD">
      <w:pPr>
        <w:pStyle w:val="ListParagraph"/>
        <w:numPr>
          <w:ilvl w:val="0"/>
          <w:numId w:val="1"/>
        </w:numPr>
        <w:tabs>
          <w:tab w:val="left" w:pos="840"/>
        </w:tabs>
        <w:spacing w:before="78" w:line="276" w:lineRule="auto"/>
        <w:ind w:right="117"/>
        <w:jc w:val="both"/>
        <w:rPr>
          <w:rFonts w:ascii="Symbol" w:hAnsi="Symbol"/>
          <w:sz w:val="24"/>
        </w:rPr>
      </w:pPr>
      <w:r>
        <w:rPr>
          <w:b/>
          <w:sz w:val="24"/>
        </w:rPr>
        <w:lastRenderedPageBreak/>
        <w:t xml:space="preserve">Above Expectations: </w:t>
      </w:r>
      <w:r>
        <w:rPr>
          <w:sz w:val="24"/>
        </w:rPr>
        <w:t xml:space="preserve">A faculty member’s performance </w:t>
      </w:r>
      <w:r>
        <w:rPr>
          <w:sz w:val="24"/>
        </w:rPr>
        <w:t>in a year might stand out as being well more than the expected high level of performance. When this occurs, the faculty member is performing above</w:t>
      </w:r>
      <w:r>
        <w:rPr>
          <w:spacing w:val="-1"/>
          <w:sz w:val="24"/>
        </w:rPr>
        <w:t xml:space="preserve"> </w:t>
      </w:r>
      <w:r>
        <w:rPr>
          <w:sz w:val="24"/>
        </w:rPr>
        <w:t>expectations.</w:t>
      </w:r>
    </w:p>
    <w:p w14:paraId="082EE70E" w14:textId="77777777" w:rsidR="001B4512" w:rsidRDefault="00EC0EFD">
      <w:pPr>
        <w:pStyle w:val="ListParagraph"/>
        <w:numPr>
          <w:ilvl w:val="0"/>
          <w:numId w:val="1"/>
        </w:numPr>
        <w:tabs>
          <w:tab w:val="left" w:pos="840"/>
        </w:tabs>
        <w:spacing w:line="276" w:lineRule="auto"/>
        <w:ind w:left="839" w:right="116"/>
        <w:jc w:val="both"/>
        <w:rPr>
          <w:rFonts w:ascii="Symbol" w:hAnsi="Symbol"/>
          <w:sz w:val="24"/>
        </w:rPr>
      </w:pPr>
      <w:r>
        <w:rPr>
          <w:b/>
          <w:sz w:val="24"/>
        </w:rPr>
        <w:t xml:space="preserve">Exceptional: </w:t>
      </w:r>
      <w:r>
        <w:rPr>
          <w:sz w:val="24"/>
        </w:rPr>
        <w:t xml:space="preserve">Almost by definition exceptional performance is rare. For this </w:t>
      </w:r>
      <w:proofErr w:type="gramStart"/>
      <w:r>
        <w:rPr>
          <w:sz w:val="24"/>
        </w:rPr>
        <w:t>reason</w:t>
      </w:r>
      <w:proofErr w:type="gramEnd"/>
      <w:r>
        <w:rPr>
          <w:sz w:val="24"/>
        </w:rPr>
        <w:t xml:space="preserve"> exceptional </w:t>
      </w:r>
      <w:r>
        <w:rPr>
          <w:sz w:val="24"/>
        </w:rPr>
        <w:t>performance</w:t>
      </w:r>
      <w:r>
        <w:rPr>
          <w:spacing w:val="-8"/>
          <w:sz w:val="24"/>
        </w:rPr>
        <w:t xml:space="preserve"> </w:t>
      </w:r>
      <w:r>
        <w:rPr>
          <w:sz w:val="24"/>
        </w:rPr>
        <w:t>is</w:t>
      </w:r>
      <w:r>
        <w:rPr>
          <w:spacing w:val="-10"/>
          <w:sz w:val="24"/>
        </w:rPr>
        <w:t xml:space="preserve"> </w:t>
      </w:r>
      <w:r>
        <w:rPr>
          <w:sz w:val="24"/>
        </w:rPr>
        <w:t>hard</w:t>
      </w:r>
      <w:r>
        <w:rPr>
          <w:spacing w:val="-10"/>
          <w:sz w:val="24"/>
        </w:rPr>
        <w:t xml:space="preserve"> </w:t>
      </w:r>
      <w:r>
        <w:rPr>
          <w:sz w:val="24"/>
        </w:rPr>
        <w:t>to</w:t>
      </w:r>
      <w:r>
        <w:rPr>
          <w:spacing w:val="-11"/>
          <w:sz w:val="24"/>
        </w:rPr>
        <w:t xml:space="preserve"> </w:t>
      </w:r>
      <w:r>
        <w:rPr>
          <w:sz w:val="24"/>
        </w:rPr>
        <w:t>quantify</w:t>
      </w:r>
      <w:r>
        <w:rPr>
          <w:spacing w:val="-8"/>
          <w:sz w:val="24"/>
        </w:rPr>
        <w:t xml:space="preserve"> </w:t>
      </w:r>
      <w:r>
        <w:rPr>
          <w:sz w:val="24"/>
        </w:rPr>
        <w:t>in</w:t>
      </w:r>
      <w:r>
        <w:rPr>
          <w:spacing w:val="-10"/>
          <w:sz w:val="24"/>
        </w:rPr>
        <w:t xml:space="preserve"> </w:t>
      </w:r>
      <w:r>
        <w:rPr>
          <w:sz w:val="24"/>
        </w:rPr>
        <w:t>an</w:t>
      </w:r>
      <w:r>
        <w:rPr>
          <w:spacing w:val="-9"/>
          <w:sz w:val="24"/>
        </w:rPr>
        <w:t xml:space="preserve"> </w:t>
      </w:r>
      <w:r>
        <w:rPr>
          <w:sz w:val="24"/>
        </w:rPr>
        <w:t>a</w:t>
      </w:r>
      <w:r>
        <w:rPr>
          <w:spacing w:val="-10"/>
          <w:sz w:val="24"/>
        </w:rPr>
        <w:t xml:space="preserve"> </w:t>
      </w:r>
      <w:r>
        <w:rPr>
          <w:sz w:val="24"/>
        </w:rPr>
        <w:t>priori</w:t>
      </w:r>
      <w:r>
        <w:rPr>
          <w:spacing w:val="-9"/>
          <w:sz w:val="24"/>
        </w:rPr>
        <w:t xml:space="preserve"> </w:t>
      </w:r>
      <w:r>
        <w:rPr>
          <w:sz w:val="24"/>
        </w:rPr>
        <w:t>fashion.</w:t>
      </w:r>
      <w:r>
        <w:rPr>
          <w:spacing w:val="-9"/>
          <w:sz w:val="24"/>
        </w:rPr>
        <w:t xml:space="preserve"> </w:t>
      </w:r>
      <w:r>
        <w:rPr>
          <w:sz w:val="24"/>
        </w:rPr>
        <w:t>However,</w:t>
      </w:r>
      <w:r>
        <w:rPr>
          <w:spacing w:val="-10"/>
          <w:sz w:val="24"/>
        </w:rPr>
        <w:t xml:space="preserve"> </w:t>
      </w:r>
      <w:r>
        <w:rPr>
          <w:sz w:val="24"/>
        </w:rPr>
        <w:t>an</w:t>
      </w:r>
      <w:r>
        <w:rPr>
          <w:spacing w:val="-10"/>
          <w:sz w:val="24"/>
        </w:rPr>
        <w:t xml:space="preserve"> </w:t>
      </w:r>
      <w:r>
        <w:rPr>
          <w:sz w:val="24"/>
        </w:rPr>
        <w:t>observant</w:t>
      </w:r>
      <w:r>
        <w:rPr>
          <w:spacing w:val="-8"/>
          <w:sz w:val="24"/>
        </w:rPr>
        <w:t xml:space="preserve"> </w:t>
      </w:r>
      <w:r>
        <w:rPr>
          <w:sz w:val="24"/>
        </w:rPr>
        <w:t>chair</w:t>
      </w:r>
      <w:r>
        <w:rPr>
          <w:spacing w:val="-10"/>
          <w:sz w:val="24"/>
        </w:rPr>
        <w:t xml:space="preserve"> </w:t>
      </w:r>
      <w:r>
        <w:rPr>
          <w:sz w:val="24"/>
        </w:rPr>
        <w:t>will</w:t>
      </w:r>
      <w:r>
        <w:rPr>
          <w:spacing w:val="-9"/>
          <w:sz w:val="24"/>
        </w:rPr>
        <w:t xml:space="preserve"> </w:t>
      </w:r>
      <w:r>
        <w:rPr>
          <w:sz w:val="24"/>
        </w:rPr>
        <w:t>recognize exceptional performance because it involves tremendous accomplishment, far above and beyond</w:t>
      </w:r>
      <w:r>
        <w:rPr>
          <w:spacing w:val="-10"/>
          <w:sz w:val="24"/>
        </w:rPr>
        <w:t xml:space="preserve"> </w:t>
      </w:r>
      <w:r>
        <w:rPr>
          <w:sz w:val="24"/>
        </w:rPr>
        <w:t>one’s</w:t>
      </w:r>
      <w:r>
        <w:rPr>
          <w:spacing w:val="-10"/>
          <w:sz w:val="24"/>
        </w:rPr>
        <w:t xml:space="preserve"> </w:t>
      </w:r>
      <w:r>
        <w:rPr>
          <w:sz w:val="24"/>
        </w:rPr>
        <w:t>normal</w:t>
      </w:r>
      <w:r>
        <w:rPr>
          <w:spacing w:val="-9"/>
          <w:sz w:val="24"/>
        </w:rPr>
        <w:t xml:space="preserve"> </w:t>
      </w:r>
      <w:r>
        <w:rPr>
          <w:sz w:val="24"/>
        </w:rPr>
        <w:t>job</w:t>
      </w:r>
      <w:r>
        <w:rPr>
          <w:spacing w:val="-10"/>
          <w:sz w:val="24"/>
        </w:rPr>
        <w:t xml:space="preserve"> </w:t>
      </w:r>
      <w:r>
        <w:rPr>
          <w:sz w:val="24"/>
        </w:rPr>
        <w:t>assignment.</w:t>
      </w:r>
      <w:r>
        <w:rPr>
          <w:spacing w:val="-9"/>
          <w:sz w:val="24"/>
        </w:rPr>
        <w:t xml:space="preserve"> </w:t>
      </w:r>
      <w:r>
        <w:rPr>
          <w:sz w:val="24"/>
        </w:rPr>
        <w:t>Just</w:t>
      </w:r>
      <w:r>
        <w:rPr>
          <w:spacing w:val="-10"/>
          <w:sz w:val="24"/>
        </w:rPr>
        <w:t xml:space="preserve"> </w:t>
      </w:r>
      <w:r>
        <w:rPr>
          <w:sz w:val="24"/>
        </w:rPr>
        <w:t>as</w:t>
      </w:r>
      <w:r>
        <w:rPr>
          <w:spacing w:val="-11"/>
          <w:sz w:val="24"/>
        </w:rPr>
        <w:t xml:space="preserve"> </w:t>
      </w:r>
      <w:r>
        <w:rPr>
          <w:sz w:val="24"/>
        </w:rPr>
        <w:t>importantly,</w:t>
      </w:r>
      <w:r>
        <w:rPr>
          <w:spacing w:val="-9"/>
          <w:sz w:val="24"/>
        </w:rPr>
        <w:t xml:space="preserve"> </w:t>
      </w:r>
      <w:r>
        <w:rPr>
          <w:sz w:val="24"/>
        </w:rPr>
        <w:t>exceptional</w:t>
      </w:r>
      <w:r>
        <w:rPr>
          <w:spacing w:val="-11"/>
          <w:sz w:val="24"/>
        </w:rPr>
        <w:t xml:space="preserve"> </w:t>
      </w:r>
      <w:r>
        <w:rPr>
          <w:sz w:val="24"/>
        </w:rPr>
        <w:t>performance</w:t>
      </w:r>
      <w:r>
        <w:rPr>
          <w:spacing w:val="-9"/>
          <w:sz w:val="24"/>
        </w:rPr>
        <w:t xml:space="preserve"> </w:t>
      </w:r>
      <w:r>
        <w:rPr>
          <w:sz w:val="24"/>
        </w:rPr>
        <w:t>is</w:t>
      </w:r>
      <w:r>
        <w:rPr>
          <w:spacing w:val="-10"/>
          <w:sz w:val="24"/>
        </w:rPr>
        <w:t xml:space="preserve"> </w:t>
      </w:r>
      <w:r>
        <w:rPr>
          <w:sz w:val="24"/>
        </w:rPr>
        <w:t>universally recognized by one’s</w:t>
      </w:r>
      <w:r>
        <w:rPr>
          <w:spacing w:val="-5"/>
          <w:sz w:val="24"/>
        </w:rPr>
        <w:t xml:space="preserve"> </w:t>
      </w:r>
      <w:r>
        <w:rPr>
          <w:sz w:val="24"/>
        </w:rPr>
        <w:t>peers.</w:t>
      </w:r>
    </w:p>
    <w:p w14:paraId="0A62ACC7" w14:textId="77777777" w:rsidR="001B4512" w:rsidRDefault="00EC0EFD">
      <w:pPr>
        <w:pStyle w:val="ListParagraph"/>
        <w:numPr>
          <w:ilvl w:val="0"/>
          <w:numId w:val="1"/>
        </w:numPr>
        <w:tabs>
          <w:tab w:val="left" w:pos="840"/>
        </w:tabs>
        <w:spacing w:line="276" w:lineRule="auto"/>
        <w:ind w:left="839" w:right="117"/>
        <w:jc w:val="both"/>
        <w:rPr>
          <w:rFonts w:ascii="Symbol" w:hAnsi="Symbol"/>
          <w:sz w:val="24"/>
        </w:rPr>
      </w:pPr>
      <w:r>
        <w:rPr>
          <w:b/>
          <w:sz w:val="24"/>
        </w:rPr>
        <w:t xml:space="preserve">Below Expectations </w:t>
      </w:r>
      <w:r>
        <w:rPr>
          <w:sz w:val="24"/>
        </w:rPr>
        <w:t xml:space="preserve">and </w:t>
      </w:r>
      <w:r>
        <w:rPr>
          <w:b/>
          <w:sz w:val="24"/>
        </w:rPr>
        <w:t>Unacceptable Pe</w:t>
      </w:r>
      <w:r>
        <w:rPr>
          <w:b/>
          <w:sz w:val="24"/>
        </w:rPr>
        <w:t xml:space="preserve">rformance: </w:t>
      </w:r>
      <w:r>
        <w:rPr>
          <w:sz w:val="24"/>
        </w:rPr>
        <w:t>These two ratings are likely to be uncommon,</w:t>
      </w:r>
      <w:r>
        <w:rPr>
          <w:spacing w:val="-10"/>
          <w:sz w:val="24"/>
        </w:rPr>
        <w:t xml:space="preserve"> </w:t>
      </w:r>
      <w:r>
        <w:rPr>
          <w:sz w:val="24"/>
        </w:rPr>
        <w:t>given</w:t>
      </w:r>
      <w:r>
        <w:rPr>
          <w:spacing w:val="-10"/>
          <w:sz w:val="24"/>
        </w:rPr>
        <w:t xml:space="preserve"> </w:t>
      </w:r>
      <w:r>
        <w:rPr>
          <w:sz w:val="24"/>
        </w:rPr>
        <w:t>the</w:t>
      </w:r>
      <w:r>
        <w:rPr>
          <w:spacing w:val="-10"/>
          <w:sz w:val="24"/>
        </w:rPr>
        <w:t xml:space="preserve"> </w:t>
      </w:r>
      <w:r>
        <w:rPr>
          <w:sz w:val="24"/>
        </w:rPr>
        <w:t>selective</w:t>
      </w:r>
      <w:r>
        <w:rPr>
          <w:spacing w:val="-10"/>
          <w:sz w:val="24"/>
        </w:rPr>
        <w:t xml:space="preserve"> </w:t>
      </w:r>
      <w:r>
        <w:rPr>
          <w:sz w:val="24"/>
        </w:rPr>
        <w:t>way</w:t>
      </w:r>
      <w:r>
        <w:rPr>
          <w:spacing w:val="-9"/>
          <w:sz w:val="24"/>
        </w:rPr>
        <w:t xml:space="preserve"> </w:t>
      </w:r>
      <w:r>
        <w:rPr>
          <w:sz w:val="24"/>
        </w:rPr>
        <w:t>in</w:t>
      </w:r>
      <w:r>
        <w:rPr>
          <w:spacing w:val="-10"/>
          <w:sz w:val="24"/>
        </w:rPr>
        <w:t xml:space="preserve"> </w:t>
      </w:r>
      <w:r>
        <w:rPr>
          <w:sz w:val="24"/>
        </w:rPr>
        <w:t>which</w:t>
      </w:r>
      <w:r>
        <w:rPr>
          <w:spacing w:val="-11"/>
          <w:sz w:val="24"/>
        </w:rPr>
        <w:t xml:space="preserve"> </w:t>
      </w:r>
      <w:r>
        <w:rPr>
          <w:sz w:val="24"/>
        </w:rPr>
        <w:t>hiring</w:t>
      </w:r>
      <w:r>
        <w:rPr>
          <w:spacing w:val="-10"/>
          <w:sz w:val="24"/>
        </w:rPr>
        <w:t xml:space="preserve"> </w:t>
      </w:r>
      <w:r>
        <w:rPr>
          <w:sz w:val="24"/>
        </w:rPr>
        <w:t>occurs.</w:t>
      </w:r>
      <w:r>
        <w:rPr>
          <w:spacing w:val="-11"/>
          <w:sz w:val="24"/>
        </w:rPr>
        <w:t xml:space="preserve"> </w:t>
      </w:r>
      <w:r>
        <w:rPr>
          <w:sz w:val="24"/>
        </w:rPr>
        <w:t>Poor</w:t>
      </w:r>
      <w:r>
        <w:rPr>
          <w:spacing w:val="-10"/>
          <w:sz w:val="24"/>
        </w:rPr>
        <w:t xml:space="preserve"> </w:t>
      </w:r>
      <w:r>
        <w:rPr>
          <w:sz w:val="24"/>
        </w:rPr>
        <w:t>scholarship</w:t>
      </w:r>
      <w:r>
        <w:rPr>
          <w:spacing w:val="-11"/>
          <w:sz w:val="24"/>
        </w:rPr>
        <w:t xml:space="preserve"> </w:t>
      </w:r>
      <w:r>
        <w:rPr>
          <w:sz w:val="24"/>
        </w:rPr>
        <w:t>and</w:t>
      </w:r>
      <w:r>
        <w:rPr>
          <w:spacing w:val="-10"/>
          <w:sz w:val="24"/>
        </w:rPr>
        <w:t xml:space="preserve"> </w:t>
      </w:r>
      <w:r>
        <w:rPr>
          <w:sz w:val="24"/>
        </w:rPr>
        <w:t>lack</w:t>
      </w:r>
      <w:r>
        <w:rPr>
          <w:spacing w:val="-12"/>
          <w:sz w:val="24"/>
        </w:rPr>
        <w:t xml:space="preserve"> </w:t>
      </w:r>
      <w:r>
        <w:rPr>
          <w:sz w:val="24"/>
        </w:rPr>
        <w:t>of</w:t>
      </w:r>
      <w:r>
        <w:rPr>
          <w:spacing w:val="-10"/>
          <w:sz w:val="24"/>
        </w:rPr>
        <w:t xml:space="preserve"> </w:t>
      </w:r>
      <w:r>
        <w:rPr>
          <w:sz w:val="24"/>
        </w:rPr>
        <w:t>attention to our instructional mission could result in one of these</w:t>
      </w:r>
      <w:r>
        <w:rPr>
          <w:spacing w:val="-7"/>
          <w:sz w:val="24"/>
        </w:rPr>
        <w:t xml:space="preserve"> </w:t>
      </w:r>
      <w:r>
        <w:rPr>
          <w:sz w:val="24"/>
        </w:rPr>
        <w:t>ratings.</w:t>
      </w:r>
    </w:p>
    <w:p w14:paraId="068AF39C" w14:textId="77777777" w:rsidR="001B4512" w:rsidRDefault="001B4512">
      <w:pPr>
        <w:pStyle w:val="BodyText"/>
        <w:spacing w:before="8"/>
        <w:ind w:left="0"/>
        <w:rPr>
          <w:sz w:val="19"/>
        </w:rPr>
      </w:pPr>
    </w:p>
    <w:p w14:paraId="1BB06CAF" w14:textId="77777777" w:rsidR="001B4512" w:rsidRDefault="00EC0EFD">
      <w:pPr>
        <w:pStyle w:val="BodyText"/>
        <w:spacing w:line="259" w:lineRule="auto"/>
        <w:ind w:left="119" w:right="116"/>
        <w:jc w:val="both"/>
      </w:pPr>
      <w:r>
        <w:t>Comparison across departments, as might occur</w:t>
      </w:r>
      <w:r>
        <w:t xml:space="preserve"> when merit pay raises are available, cannot be based directly on these ratings, for the ratings reflect objective judgments by the particular chair. To ensure fairness within the college, such comparison should be based on department‐by‐department percent</w:t>
      </w:r>
      <w:r>
        <w:t>iles. Suppose, for example, that Departments A, B, and C each have 10 faculty members. The following are possible distributions of ratings in those departments along with the corresponding percentiles:</w:t>
      </w:r>
    </w:p>
    <w:p w14:paraId="5A463437" w14:textId="77777777" w:rsidR="001B4512" w:rsidRDefault="00EC0EFD">
      <w:pPr>
        <w:pStyle w:val="BodyText"/>
        <w:spacing w:before="159" w:line="256" w:lineRule="auto"/>
        <w:ind w:left="119" w:right="116"/>
        <w:jc w:val="both"/>
      </w:pPr>
      <w:r>
        <w:rPr>
          <w:b/>
          <w:u w:val="single"/>
        </w:rPr>
        <w:t>Department</w:t>
      </w:r>
      <w:r>
        <w:rPr>
          <w:b/>
          <w:spacing w:val="-4"/>
          <w:u w:val="single"/>
        </w:rPr>
        <w:t xml:space="preserve"> </w:t>
      </w:r>
      <w:r>
        <w:rPr>
          <w:b/>
          <w:u w:val="single"/>
        </w:rPr>
        <w:t>A</w:t>
      </w:r>
      <w:r>
        <w:t>:</w:t>
      </w:r>
      <w:r>
        <w:rPr>
          <w:spacing w:val="-4"/>
        </w:rPr>
        <w:t xml:space="preserve"> </w:t>
      </w:r>
      <w:r>
        <w:t>Five</w:t>
      </w:r>
      <w:r>
        <w:rPr>
          <w:spacing w:val="-4"/>
        </w:rPr>
        <w:t xml:space="preserve"> </w:t>
      </w:r>
      <w:r>
        <w:t>meets</w:t>
      </w:r>
      <w:r>
        <w:rPr>
          <w:spacing w:val="-5"/>
        </w:rPr>
        <w:t xml:space="preserve"> </w:t>
      </w:r>
      <w:r>
        <w:t>expectations,</w:t>
      </w:r>
      <w:r>
        <w:rPr>
          <w:spacing w:val="-5"/>
        </w:rPr>
        <w:t xml:space="preserve"> </w:t>
      </w:r>
      <w:r>
        <w:t>three</w:t>
      </w:r>
      <w:r>
        <w:rPr>
          <w:spacing w:val="-4"/>
        </w:rPr>
        <w:t xml:space="preserve"> </w:t>
      </w:r>
      <w:r>
        <w:t>above</w:t>
      </w:r>
      <w:r>
        <w:rPr>
          <w:spacing w:val="-4"/>
        </w:rPr>
        <w:t xml:space="preserve"> </w:t>
      </w:r>
      <w:r>
        <w:t>expectations,</w:t>
      </w:r>
      <w:r>
        <w:rPr>
          <w:spacing w:val="-5"/>
        </w:rPr>
        <w:t xml:space="preserve"> </w:t>
      </w:r>
      <w:r>
        <w:t>and</w:t>
      </w:r>
      <w:r>
        <w:rPr>
          <w:spacing w:val="-5"/>
        </w:rPr>
        <w:t xml:space="preserve"> </w:t>
      </w:r>
      <w:r>
        <w:t>two</w:t>
      </w:r>
      <w:r>
        <w:rPr>
          <w:spacing w:val="-6"/>
        </w:rPr>
        <w:t xml:space="preserve"> </w:t>
      </w:r>
      <w:r>
        <w:t>exceptional.</w:t>
      </w:r>
      <w:r>
        <w:rPr>
          <w:spacing w:val="-5"/>
        </w:rPr>
        <w:t xml:space="preserve"> </w:t>
      </w:r>
      <w:r>
        <w:t>The</w:t>
      </w:r>
      <w:r>
        <w:rPr>
          <w:spacing w:val="-4"/>
        </w:rPr>
        <w:t xml:space="preserve"> </w:t>
      </w:r>
      <w:r>
        <w:t>percentile for meets expectations is .25 (25</w:t>
      </w:r>
      <w:proofErr w:type="spellStart"/>
      <w:r>
        <w:rPr>
          <w:position w:val="8"/>
          <w:sz w:val="16"/>
        </w:rPr>
        <w:t>th</w:t>
      </w:r>
      <w:proofErr w:type="spellEnd"/>
      <w:r>
        <w:rPr>
          <w:position w:val="8"/>
          <w:sz w:val="16"/>
        </w:rPr>
        <w:t xml:space="preserve"> </w:t>
      </w:r>
      <w:r>
        <w:t>percentile), that for above expectations is .65(65</w:t>
      </w:r>
      <w:proofErr w:type="spellStart"/>
      <w:r>
        <w:rPr>
          <w:position w:val="8"/>
          <w:sz w:val="16"/>
        </w:rPr>
        <w:t>th</w:t>
      </w:r>
      <w:proofErr w:type="spellEnd"/>
      <w:r>
        <w:rPr>
          <w:position w:val="8"/>
          <w:sz w:val="16"/>
        </w:rPr>
        <w:t xml:space="preserve"> </w:t>
      </w:r>
      <w:r>
        <w:t>percentile), and that for exceptional is .90(90</w:t>
      </w:r>
      <w:proofErr w:type="spellStart"/>
      <w:r>
        <w:rPr>
          <w:position w:val="8"/>
          <w:sz w:val="16"/>
        </w:rPr>
        <w:t>th</w:t>
      </w:r>
      <w:proofErr w:type="spellEnd"/>
      <w:r>
        <w:rPr>
          <w:spacing w:val="12"/>
          <w:position w:val="8"/>
          <w:sz w:val="16"/>
        </w:rPr>
        <w:t xml:space="preserve"> </w:t>
      </w:r>
      <w:r>
        <w:t>percentile).</w:t>
      </w:r>
    </w:p>
    <w:p w14:paraId="524DF620" w14:textId="77777777" w:rsidR="001B4512" w:rsidRDefault="00EC0EFD">
      <w:pPr>
        <w:pStyle w:val="BodyText"/>
        <w:spacing w:before="160" w:line="256" w:lineRule="auto"/>
        <w:ind w:left="120" w:right="117"/>
        <w:jc w:val="both"/>
      </w:pPr>
      <w:r>
        <w:rPr>
          <w:b/>
          <w:u w:val="single"/>
        </w:rPr>
        <w:t>Department B</w:t>
      </w:r>
      <w:r>
        <w:rPr>
          <w:b/>
        </w:rPr>
        <w:t xml:space="preserve">: </w:t>
      </w:r>
      <w:r>
        <w:t xml:space="preserve">Nine </w:t>
      </w:r>
      <w:proofErr w:type="gramStart"/>
      <w:r>
        <w:t>meets</w:t>
      </w:r>
      <w:proofErr w:type="gramEnd"/>
      <w:r>
        <w:t xml:space="preserve"> expectations and one ab</w:t>
      </w:r>
      <w:r>
        <w:t>ove expectations. The percentile for meets expectations is .45(45</w:t>
      </w:r>
      <w:proofErr w:type="spellStart"/>
      <w:r>
        <w:rPr>
          <w:position w:val="8"/>
          <w:sz w:val="16"/>
        </w:rPr>
        <w:t>th</w:t>
      </w:r>
      <w:proofErr w:type="spellEnd"/>
      <w:r>
        <w:t>), and that for above expectations is .95(95</w:t>
      </w:r>
      <w:proofErr w:type="spellStart"/>
      <w:r>
        <w:rPr>
          <w:position w:val="8"/>
          <w:sz w:val="16"/>
        </w:rPr>
        <w:t>th</w:t>
      </w:r>
      <w:proofErr w:type="spellEnd"/>
      <w:r>
        <w:t>).</w:t>
      </w:r>
    </w:p>
    <w:p w14:paraId="13E802CB" w14:textId="77777777" w:rsidR="001B4512" w:rsidRDefault="00EC0EFD">
      <w:pPr>
        <w:pStyle w:val="BodyText"/>
        <w:spacing w:before="162" w:line="259" w:lineRule="auto"/>
        <w:ind w:left="120" w:right="121"/>
        <w:jc w:val="both"/>
      </w:pPr>
      <w:r>
        <w:rPr>
          <w:b/>
          <w:u w:val="single"/>
        </w:rPr>
        <w:t>Department C</w:t>
      </w:r>
      <w:r>
        <w:rPr>
          <w:b/>
        </w:rPr>
        <w:t xml:space="preserve">: </w:t>
      </w:r>
      <w:r>
        <w:t xml:space="preserve">One meets expectations, one above expectations, and eight exceptional. The percentile for meets expectations is .05, that for </w:t>
      </w:r>
      <w:r>
        <w:t>above expectations is .15, and that for exceptional is .60.</w:t>
      </w:r>
    </w:p>
    <w:p w14:paraId="46BFDF11" w14:textId="77777777" w:rsidR="001B4512" w:rsidRDefault="00EC0EFD">
      <w:pPr>
        <w:pStyle w:val="BodyText"/>
        <w:spacing w:before="160" w:line="254" w:lineRule="auto"/>
        <w:ind w:left="120" w:right="117"/>
        <w:jc w:val="both"/>
      </w:pPr>
      <w:r>
        <w:rPr>
          <w:b/>
          <w:u w:val="single"/>
        </w:rPr>
        <w:t>Departments D &amp; E</w:t>
      </w:r>
      <w:r>
        <w:rPr>
          <w:b/>
        </w:rPr>
        <w:t xml:space="preserve">: </w:t>
      </w:r>
      <w:r>
        <w:t xml:space="preserve">In these two departments either everyone is exceptional or everyone meets expectations. In both cases, the percentile rank is 0.5, </w:t>
      </w:r>
      <w:proofErr w:type="gramStart"/>
      <w:r>
        <w:t>i.e.</w:t>
      </w:r>
      <w:proofErr w:type="gramEnd"/>
      <w:r>
        <w:t xml:space="preserve"> 50</w:t>
      </w:r>
      <w:proofErr w:type="spellStart"/>
      <w:r>
        <w:rPr>
          <w:position w:val="8"/>
          <w:sz w:val="16"/>
        </w:rPr>
        <w:t>th</w:t>
      </w:r>
      <w:proofErr w:type="spellEnd"/>
      <w:r>
        <w:rPr>
          <w:spacing w:val="4"/>
          <w:position w:val="8"/>
          <w:sz w:val="16"/>
        </w:rPr>
        <w:t xml:space="preserve"> </w:t>
      </w:r>
      <w:r>
        <w:t>percentile.</w:t>
      </w:r>
    </w:p>
    <w:p w14:paraId="49DD674B" w14:textId="77777777" w:rsidR="001B4512" w:rsidRDefault="00EC0EFD">
      <w:pPr>
        <w:spacing w:before="167"/>
        <w:ind w:left="120"/>
        <w:jc w:val="both"/>
        <w:rPr>
          <w:b/>
          <w:sz w:val="18"/>
        </w:rPr>
      </w:pPr>
      <w:r>
        <w:rPr>
          <w:b/>
          <w:color w:val="5B9BD5"/>
          <w:sz w:val="18"/>
        </w:rPr>
        <w:t>Table:</w:t>
      </w:r>
      <w:r>
        <w:rPr>
          <w:b/>
          <w:color w:val="5B9BD5"/>
          <w:spacing w:val="-5"/>
          <w:sz w:val="18"/>
        </w:rPr>
        <w:t xml:space="preserve"> </w:t>
      </w:r>
      <w:r>
        <w:rPr>
          <w:b/>
          <w:color w:val="5B9BD5"/>
          <w:sz w:val="18"/>
        </w:rPr>
        <w:t>Department‐by‐Dep</w:t>
      </w:r>
      <w:r>
        <w:rPr>
          <w:b/>
          <w:color w:val="5B9BD5"/>
          <w:sz w:val="18"/>
        </w:rPr>
        <w:t>artment</w:t>
      </w:r>
      <w:r>
        <w:rPr>
          <w:b/>
          <w:color w:val="5B9BD5"/>
          <w:spacing w:val="-4"/>
          <w:sz w:val="18"/>
        </w:rPr>
        <w:t xml:space="preserve"> </w:t>
      </w:r>
      <w:r>
        <w:rPr>
          <w:b/>
          <w:color w:val="5B9BD5"/>
          <w:sz w:val="18"/>
        </w:rPr>
        <w:t>Percentile</w:t>
      </w:r>
      <w:r>
        <w:rPr>
          <w:b/>
          <w:color w:val="5B9BD5"/>
          <w:spacing w:val="-3"/>
          <w:sz w:val="18"/>
        </w:rPr>
        <w:t xml:space="preserve"> </w:t>
      </w:r>
      <w:r>
        <w:rPr>
          <w:b/>
          <w:color w:val="5B9BD5"/>
          <w:sz w:val="18"/>
        </w:rPr>
        <w:t>Distributions</w:t>
      </w:r>
      <w:r>
        <w:rPr>
          <w:b/>
          <w:color w:val="5B9BD5"/>
          <w:spacing w:val="-4"/>
          <w:sz w:val="18"/>
        </w:rPr>
        <w:t xml:space="preserve"> </w:t>
      </w:r>
      <w:r>
        <w:rPr>
          <w:b/>
          <w:color w:val="5B9BD5"/>
          <w:sz w:val="18"/>
        </w:rPr>
        <w:t>for</w:t>
      </w:r>
      <w:r>
        <w:rPr>
          <w:b/>
          <w:color w:val="5B9BD5"/>
          <w:spacing w:val="-4"/>
          <w:sz w:val="18"/>
        </w:rPr>
        <w:t xml:space="preserve"> </w:t>
      </w:r>
      <w:r>
        <w:rPr>
          <w:b/>
          <w:color w:val="5B9BD5"/>
          <w:sz w:val="18"/>
        </w:rPr>
        <w:t>five</w:t>
      </w:r>
      <w:r>
        <w:rPr>
          <w:b/>
          <w:color w:val="5B9BD5"/>
          <w:spacing w:val="-3"/>
          <w:sz w:val="18"/>
        </w:rPr>
        <w:t xml:space="preserve"> </w:t>
      </w:r>
      <w:r>
        <w:rPr>
          <w:b/>
          <w:color w:val="5B9BD5"/>
          <w:sz w:val="18"/>
        </w:rPr>
        <w:t>departments</w:t>
      </w:r>
      <w:r>
        <w:rPr>
          <w:b/>
          <w:color w:val="5B9BD5"/>
          <w:spacing w:val="-4"/>
          <w:sz w:val="18"/>
        </w:rPr>
        <w:t xml:space="preserve"> </w:t>
      </w:r>
      <w:r>
        <w:rPr>
          <w:b/>
          <w:color w:val="5B9BD5"/>
          <w:sz w:val="18"/>
        </w:rPr>
        <w:t>each</w:t>
      </w:r>
      <w:r>
        <w:rPr>
          <w:b/>
          <w:color w:val="5B9BD5"/>
          <w:spacing w:val="-4"/>
          <w:sz w:val="18"/>
        </w:rPr>
        <w:t xml:space="preserve"> </w:t>
      </w:r>
      <w:r>
        <w:rPr>
          <w:b/>
          <w:color w:val="5B9BD5"/>
          <w:sz w:val="18"/>
        </w:rPr>
        <w:t>of</w:t>
      </w:r>
      <w:r>
        <w:rPr>
          <w:b/>
          <w:color w:val="5B9BD5"/>
          <w:spacing w:val="-4"/>
          <w:sz w:val="18"/>
        </w:rPr>
        <w:t xml:space="preserve"> </w:t>
      </w:r>
      <w:r>
        <w:rPr>
          <w:b/>
          <w:color w:val="5B9BD5"/>
          <w:sz w:val="18"/>
        </w:rPr>
        <w:t>size</w:t>
      </w:r>
      <w:r>
        <w:rPr>
          <w:b/>
          <w:color w:val="5B9BD5"/>
          <w:spacing w:val="-3"/>
          <w:sz w:val="18"/>
        </w:rPr>
        <w:t xml:space="preserve"> </w:t>
      </w:r>
      <w:r>
        <w:rPr>
          <w:b/>
          <w:color w:val="5B9BD5"/>
          <w:sz w:val="18"/>
        </w:rPr>
        <w:t>10.</w:t>
      </w:r>
    </w:p>
    <w:p w14:paraId="4DD07319" w14:textId="77777777" w:rsidR="001B4512" w:rsidRDefault="001B4512">
      <w:pPr>
        <w:pStyle w:val="BodyText"/>
        <w:spacing w:before="5" w:after="1"/>
        <w:ind w:left="0"/>
        <w:rPr>
          <w:b/>
          <w:sz w:val="16"/>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167"/>
        <w:gridCol w:w="1168"/>
        <w:gridCol w:w="1168"/>
        <w:gridCol w:w="1169"/>
        <w:gridCol w:w="1168"/>
        <w:gridCol w:w="1168"/>
      </w:tblGrid>
      <w:tr w:rsidR="001B4512" w14:paraId="77FC4628" w14:textId="77777777">
        <w:trPr>
          <w:trHeight w:val="292"/>
        </w:trPr>
        <w:tc>
          <w:tcPr>
            <w:tcW w:w="1802" w:type="dxa"/>
          </w:tcPr>
          <w:p w14:paraId="50DC7187" w14:textId="77777777" w:rsidR="001B4512" w:rsidRDefault="001B4512">
            <w:pPr>
              <w:pStyle w:val="TableParagraph"/>
              <w:spacing w:line="240" w:lineRule="auto"/>
              <w:jc w:val="left"/>
              <w:rPr>
                <w:rFonts w:ascii="Times New Roman"/>
                <w:sz w:val="20"/>
              </w:rPr>
            </w:pPr>
          </w:p>
        </w:tc>
        <w:tc>
          <w:tcPr>
            <w:tcW w:w="2335" w:type="dxa"/>
            <w:gridSpan w:val="2"/>
          </w:tcPr>
          <w:p w14:paraId="33FC3404" w14:textId="77777777" w:rsidR="001B4512" w:rsidRDefault="00EC0EFD">
            <w:pPr>
              <w:pStyle w:val="TableParagraph"/>
              <w:ind w:left="188"/>
              <w:jc w:val="left"/>
              <w:rPr>
                <w:b/>
                <w:sz w:val="24"/>
              </w:rPr>
            </w:pPr>
            <w:r>
              <w:rPr>
                <w:b/>
                <w:sz w:val="24"/>
              </w:rPr>
              <w:t>Meets Expectations</w:t>
            </w:r>
          </w:p>
        </w:tc>
        <w:tc>
          <w:tcPr>
            <w:tcW w:w="2337" w:type="dxa"/>
            <w:gridSpan w:val="2"/>
          </w:tcPr>
          <w:p w14:paraId="6D644D79" w14:textId="77777777" w:rsidR="001B4512" w:rsidRDefault="00EC0EFD">
            <w:pPr>
              <w:pStyle w:val="TableParagraph"/>
              <w:ind w:left="186"/>
              <w:jc w:val="left"/>
              <w:rPr>
                <w:b/>
                <w:sz w:val="24"/>
              </w:rPr>
            </w:pPr>
            <w:r>
              <w:rPr>
                <w:b/>
                <w:sz w:val="24"/>
              </w:rPr>
              <w:t>Above Expectations</w:t>
            </w:r>
          </w:p>
        </w:tc>
        <w:tc>
          <w:tcPr>
            <w:tcW w:w="2336" w:type="dxa"/>
            <w:gridSpan w:val="2"/>
          </w:tcPr>
          <w:p w14:paraId="3BFD1ADC" w14:textId="77777777" w:rsidR="001B4512" w:rsidRDefault="00EC0EFD">
            <w:pPr>
              <w:pStyle w:val="TableParagraph"/>
              <w:ind w:left="595"/>
              <w:jc w:val="left"/>
              <w:rPr>
                <w:b/>
                <w:sz w:val="24"/>
              </w:rPr>
            </w:pPr>
            <w:r>
              <w:rPr>
                <w:b/>
                <w:sz w:val="24"/>
              </w:rPr>
              <w:t>Exceptional</w:t>
            </w:r>
          </w:p>
        </w:tc>
      </w:tr>
      <w:tr w:rsidR="001B4512" w14:paraId="77B0D2A3" w14:textId="77777777">
        <w:trPr>
          <w:trHeight w:val="293"/>
        </w:trPr>
        <w:tc>
          <w:tcPr>
            <w:tcW w:w="1802" w:type="dxa"/>
          </w:tcPr>
          <w:p w14:paraId="241C5D60" w14:textId="77777777" w:rsidR="001B4512" w:rsidRDefault="001B4512">
            <w:pPr>
              <w:pStyle w:val="TableParagraph"/>
              <w:spacing w:line="240" w:lineRule="auto"/>
              <w:jc w:val="left"/>
              <w:rPr>
                <w:rFonts w:ascii="Times New Roman"/>
              </w:rPr>
            </w:pPr>
          </w:p>
        </w:tc>
        <w:tc>
          <w:tcPr>
            <w:tcW w:w="1167" w:type="dxa"/>
          </w:tcPr>
          <w:p w14:paraId="6F36F4A1" w14:textId="77777777" w:rsidR="001B4512" w:rsidRDefault="00EC0EFD">
            <w:pPr>
              <w:pStyle w:val="TableParagraph"/>
              <w:spacing w:line="273" w:lineRule="exact"/>
              <w:ind w:left="523"/>
              <w:jc w:val="left"/>
              <w:rPr>
                <w:b/>
                <w:sz w:val="24"/>
              </w:rPr>
            </w:pPr>
            <w:r>
              <w:rPr>
                <w:b/>
                <w:sz w:val="24"/>
              </w:rPr>
              <w:t>#</w:t>
            </w:r>
          </w:p>
        </w:tc>
        <w:tc>
          <w:tcPr>
            <w:tcW w:w="1168" w:type="dxa"/>
          </w:tcPr>
          <w:p w14:paraId="2A53ACA4" w14:textId="77777777" w:rsidR="001B4512" w:rsidRDefault="00EC0EFD">
            <w:pPr>
              <w:pStyle w:val="TableParagraph"/>
              <w:spacing w:line="240" w:lineRule="auto"/>
              <w:ind w:left="142" w:right="129"/>
              <w:rPr>
                <w:b/>
                <w:sz w:val="20"/>
              </w:rPr>
            </w:pPr>
            <w:r>
              <w:rPr>
                <w:b/>
                <w:sz w:val="20"/>
              </w:rPr>
              <w:t>percentile</w:t>
            </w:r>
          </w:p>
        </w:tc>
        <w:tc>
          <w:tcPr>
            <w:tcW w:w="1168" w:type="dxa"/>
          </w:tcPr>
          <w:p w14:paraId="6712D5A2" w14:textId="77777777" w:rsidR="001B4512" w:rsidRDefault="00EC0EFD">
            <w:pPr>
              <w:pStyle w:val="TableParagraph"/>
              <w:spacing w:line="273" w:lineRule="exact"/>
              <w:ind w:left="13"/>
              <w:rPr>
                <w:b/>
                <w:sz w:val="24"/>
              </w:rPr>
            </w:pPr>
            <w:r>
              <w:rPr>
                <w:b/>
                <w:sz w:val="24"/>
              </w:rPr>
              <w:t>#</w:t>
            </w:r>
          </w:p>
        </w:tc>
        <w:tc>
          <w:tcPr>
            <w:tcW w:w="1169" w:type="dxa"/>
          </w:tcPr>
          <w:p w14:paraId="589AA1AF" w14:textId="77777777" w:rsidR="001B4512" w:rsidRDefault="00EC0EFD">
            <w:pPr>
              <w:pStyle w:val="TableParagraph"/>
              <w:spacing w:line="240" w:lineRule="auto"/>
              <w:ind w:left="147" w:right="132"/>
              <w:rPr>
                <w:b/>
                <w:sz w:val="20"/>
              </w:rPr>
            </w:pPr>
            <w:r>
              <w:rPr>
                <w:b/>
                <w:sz w:val="20"/>
              </w:rPr>
              <w:t>percentile</w:t>
            </w:r>
          </w:p>
        </w:tc>
        <w:tc>
          <w:tcPr>
            <w:tcW w:w="1168" w:type="dxa"/>
          </w:tcPr>
          <w:p w14:paraId="3F399DC0" w14:textId="77777777" w:rsidR="001B4512" w:rsidRDefault="00EC0EFD">
            <w:pPr>
              <w:pStyle w:val="TableParagraph"/>
              <w:spacing w:line="273" w:lineRule="exact"/>
              <w:ind w:left="17"/>
              <w:rPr>
                <w:b/>
                <w:sz w:val="24"/>
              </w:rPr>
            </w:pPr>
            <w:r>
              <w:rPr>
                <w:b/>
                <w:sz w:val="24"/>
              </w:rPr>
              <w:t>#</w:t>
            </w:r>
          </w:p>
        </w:tc>
        <w:tc>
          <w:tcPr>
            <w:tcW w:w="1168" w:type="dxa"/>
          </w:tcPr>
          <w:p w14:paraId="2065AD29" w14:textId="77777777" w:rsidR="001B4512" w:rsidRDefault="00EC0EFD">
            <w:pPr>
              <w:pStyle w:val="TableParagraph"/>
              <w:spacing w:line="240" w:lineRule="auto"/>
              <w:ind w:left="145" w:right="125"/>
              <w:rPr>
                <w:b/>
                <w:sz w:val="20"/>
              </w:rPr>
            </w:pPr>
            <w:r>
              <w:rPr>
                <w:b/>
                <w:sz w:val="20"/>
              </w:rPr>
              <w:t>percentile</w:t>
            </w:r>
          </w:p>
        </w:tc>
      </w:tr>
      <w:tr w:rsidR="001B4512" w14:paraId="2C2187B7" w14:textId="77777777">
        <w:trPr>
          <w:trHeight w:val="292"/>
        </w:trPr>
        <w:tc>
          <w:tcPr>
            <w:tcW w:w="1802" w:type="dxa"/>
          </w:tcPr>
          <w:p w14:paraId="558DA1C3" w14:textId="77777777" w:rsidR="001B4512" w:rsidRDefault="00EC0EFD">
            <w:pPr>
              <w:pStyle w:val="TableParagraph"/>
              <w:ind w:left="534" w:right="525"/>
              <w:rPr>
                <w:b/>
                <w:sz w:val="24"/>
              </w:rPr>
            </w:pPr>
            <w:r>
              <w:rPr>
                <w:b/>
                <w:sz w:val="24"/>
              </w:rPr>
              <w:t>Dept A</w:t>
            </w:r>
          </w:p>
        </w:tc>
        <w:tc>
          <w:tcPr>
            <w:tcW w:w="1167" w:type="dxa"/>
          </w:tcPr>
          <w:p w14:paraId="35839B12" w14:textId="77777777" w:rsidR="001B4512" w:rsidRDefault="00EC0EFD">
            <w:pPr>
              <w:pStyle w:val="TableParagraph"/>
              <w:ind w:left="523"/>
              <w:jc w:val="left"/>
              <w:rPr>
                <w:b/>
                <w:sz w:val="24"/>
              </w:rPr>
            </w:pPr>
            <w:r>
              <w:rPr>
                <w:b/>
                <w:sz w:val="24"/>
              </w:rPr>
              <w:t>5</w:t>
            </w:r>
          </w:p>
        </w:tc>
        <w:tc>
          <w:tcPr>
            <w:tcW w:w="1168" w:type="dxa"/>
          </w:tcPr>
          <w:p w14:paraId="14E0C43A" w14:textId="77777777" w:rsidR="001B4512" w:rsidRDefault="00EC0EFD">
            <w:pPr>
              <w:pStyle w:val="TableParagraph"/>
              <w:spacing w:before="47" w:line="153" w:lineRule="auto"/>
              <w:ind w:left="140" w:right="129"/>
              <w:rPr>
                <w:b/>
                <w:sz w:val="16"/>
              </w:rPr>
            </w:pPr>
            <w:r>
              <w:rPr>
                <w:b/>
                <w:position w:val="-7"/>
                <w:sz w:val="24"/>
              </w:rPr>
              <w:t>25</w:t>
            </w:r>
            <w:proofErr w:type="spellStart"/>
            <w:r>
              <w:rPr>
                <w:b/>
                <w:sz w:val="16"/>
              </w:rPr>
              <w:t>th</w:t>
            </w:r>
            <w:proofErr w:type="spellEnd"/>
          </w:p>
        </w:tc>
        <w:tc>
          <w:tcPr>
            <w:tcW w:w="1168" w:type="dxa"/>
          </w:tcPr>
          <w:p w14:paraId="0DD4B1E0" w14:textId="77777777" w:rsidR="001B4512" w:rsidRDefault="00EC0EFD">
            <w:pPr>
              <w:pStyle w:val="TableParagraph"/>
              <w:ind w:left="13"/>
              <w:rPr>
                <w:b/>
                <w:sz w:val="24"/>
              </w:rPr>
            </w:pPr>
            <w:r>
              <w:rPr>
                <w:b/>
                <w:sz w:val="24"/>
              </w:rPr>
              <w:t>3</w:t>
            </w:r>
          </w:p>
        </w:tc>
        <w:tc>
          <w:tcPr>
            <w:tcW w:w="1169" w:type="dxa"/>
          </w:tcPr>
          <w:p w14:paraId="33B898D2" w14:textId="77777777" w:rsidR="001B4512" w:rsidRDefault="00EC0EFD">
            <w:pPr>
              <w:pStyle w:val="TableParagraph"/>
              <w:spacing w:before="47" w:line="153" w:lineRule="auto"/>
              <w:ind w:left="145" w:right="132"/>
              <w:rPr>
                <w:b/>
                <w:sz w:val="16"/>
              </w:rPr>
            </w:pPr>
            <w:r>
              <w:rPr>
                <w:b/>
                <w:position w:val="-7"/>
                <w:sz w:val="24"/>
              </w:rPr>
              <w:t>65</w:t>
            </w:r>
            <w:proofErr w:type="spellStart"/>
            <w:r>
              <w:rPr>
                <w:b/>
                <w:sz w:val="16"/>
              </w:rPr>
              <w:t>th</w:t>
            </w:r>
            <w:proofErr w:type="spellEnd"/>
          </w:p>
        </w:tc>
        <w:tc>
          <w:tcPr>
            <w:tcW w:w="1168" w:type="dxa"/>
          </w:tcPr>
          <w:p w14:paraId="4BCB7DD7" w14:textId="77777777" w:rsidR="001B4512" w:rsidRDefault="00EC0EFD">
            <w:pPr>
              <w:pStyle w:val="TableParagraph"/>
              <w:ind w:left="16"/>
              <w:rPr>
                <w:b/>
                <w:sz w:val="24"/>
              </w:rPr>
            </w:pPr>
            <w:r>
              <w:rPr>
                <w:b/>
                <w:sz w:val="24"/>
              </w:rPr>
              <w:t>2</w:t>
            </w:r>
          </w:p>
        </w:tc>
        <w:tc>
          <w:tcPr>
            <w:tcW w:w="1168" w:type="dxa"/>
          </w:tcPr>
          <w:p w14:paraId="58A77ADE" w14:textId="77777777" w:rsidR="001B4512" w:rsidRDefault="00EC0EFD">
            <w:pPr>
              <w:pStyle w:val="TableParagraph"/>
              <w:spacing w:before="47" w:line="153" w:lineRule="auto"/>
              <w:ind w:left="145" w:right="127"/>
              <w:rPr>
                <w:b/>
                <w:sz w:val="16"/>
              </w:rPr>
            </w:pPr>
            <w:r>
              <w:rPr>
                <w:b/>
                <w:position w:val="-7"/>
                <w:sz w:val="24"/>
              </w:rPr>
              <w:t>90</w:t>
            </w:r>
            <w:proofErr w:type="spellStart"/>
            <w:r>
              <w:rPr>
                <w:b/>
                <w:sz w:val="16"/>
              </w:rPr>
              <w:t>th</w:t>
            </w:r>
            <w:proofErr w:type="spellEnd"/>
          </w:p>
        </w:tc>
      </w:tr>
      <w:tr w:rsidR="001B4512" w14:paraId="24EF405E" w14:textId="77777777">
        <w:trPr>
          <w:trHeight w:val="293"/>
        </w:trPr>
        <w:tc>
          <w:tcPr>
            <w:tcW w:w="1802" w:type="dxa"/>
          </w:tcPr>
          <w:p w14:paraId="1D6054FE" w14:textId="77777777" w:rsidR="001B4512" w:rsidRDefault="00EC0EFD">
            <w:pPr>
              <w:pStyle w:val="TableParagraph"/>
              <w:spacing w:line="273" w:lineRule="exact"/>
              <w:ind w:left="534" w:right="527"/>
              <w:rPr>
                <w:b/>
                <w:sz w:val="24"/>
              </w:rPr>
            </w:pPr>
            <w:r>
              <w:rPr>
                <w:b/>
                <w:sz w:val="24"/>
              </w:rPr>
              <w:t>Dept B</w:t>
            </w:r>
          </w:p>
        </w:tc>
        <w:tc>
          <w:tcPr>
            <w:tcW w:w="1167" w:type="dxa"/>
          </w:tcPr>
          <w:p w14:paraId="13A96221" w14:textId="77777777" w:rsidR="001B4512" w:rsidRDefault="00EC0EFD">
            <w:pPr>
              <w:pStyle w:val="TableParagraph"/>
              <w:spacing w:line="273" w:lineRule="exact"/>
              <w:ind w:left="523"/>
              <w:jc w:val="left"/>
              <w:rPr>
                <w:b/>
                <w:sz w:val="24"/>
              </w:rPr>
            </w:pPr>
            <w:r>
              <w:rPr>
                <w:b/>
                <w:sz w:val="24"/>
              </w:rPr>
              <w:t>9</w:t>
            </w:r>
          </w:p>
        </w:tc>
        <w:tc>
          <w:tcPr>
            <w:tcW w:w="1168" w:type="dxa"/>
          </w:tcPr>
          <w:p w14:paraId="642634E6" w14:textId="77777777" w:rsidR="001B4512" w:rsidRDefault="00EC0EFD">
            <w:pPr>
              <w:pStyle w:val="TableParagraph"/>
              <w:spacing w:before="48" w:line="156" w:lineRule="auto"/>
              <w:ind w:left="140" w:right="129"/>
              <w:rPr>
                <w:b/>
                <w:sz w:val="16"/>
              </w:rPr>
            </w:pPr>
            <w:r>
              <w:rPr>
                <w:b/>
                <w:position w:val="-7"/>
                <w:sz w:val="24"/>
              </w:rPr>
              <w:t>45</w:t>
            </w:r>
            <w:proofErr w:type="spellStart"/>
            <w:r>
              <w:rPr>
                <w:b/>
                <w:sz w:val="16"/>
              </w:rPr>
              <w:t>th</w:t>
            </w:r>
            <w:proofErr w:type="spellEnd"/>
          </w:p>
        </w:tc>
        <w:tc>
          <w:tcPr>
            <w:tcW w:w="1168" w:type="dxa"/>
          </w:tcPr>
          <w:p w14:paraId="28C83C24" w14:textId="77777777" w:rsidR="001B4512" w:rsidRDefault="00EC0EFD">
            <w:pPr>
              <w:pStyle w:val="TableParagraph"/>
              <w:spacing w:line="273" w:lineRule="exact"/>
              <w:ind w:left="13"/>
              <w:rPr>
                <w:b/>
                <w:sz w:val="24"/>
              </w:rPr>
            </w:pPr>
            <w:r>
              <w:rPr>
                <w:b/>
                <w:sz w:val="24"/>
              </w:rPr>
              <w:t>1</w:t>
            </w:r>
          </w:p>
        </w:tc>
        <w:tc>
          <w:tcPr>
            <w:tcW w:w="1169" w:type="dxa"/>
          </w:tcPr>
          <w:p w14:paraId="24B7E9BA" w14:textId="77777777" w:rsidR="001B4512" w:rsidRDefault="00EC0EFD">
            <w:pPr>
              <w:pStyle w:val="TableParagraph"/>
              <w:spacing w:before="48" w:line="156" w:lineRule="auto"/>
              <w:ind w:left="145" w:right="132"/>
              <w:rPr>
                <w:b/>
                <w:sz w:val="16"/>
              </w:rPr>
            </w:pPr>
            <w:r>
              <w:rPr>
                <w:b/>
                <w:position w:val="-7"/>
                <w:sz w:val="24"/>
              </w:rPr>
              <w:t>95</w:t>
            </w:r>
            <w:proofErr w:type="spellStart"/>
            <w:r>
              <w:rPr>
                <w:b/>
                <w:sz w:val="16"/>
              </w:rPr>
              <w:t>th</w:t>
            </w:r>
            <w:proofErr w:type="spellEnd"/>
          </w:p>
        </w:tc>
        <w:tc>
          <w:tcPr>
            <w:tcW w:w="1168" w:type="dxa"/>
          </w:tcPr>
          <w:p w14:paraId="3E8E4456" w14:textId="77777777" w:rsidR="001B4512" w:rsidRDefault="00EC0EFD">
            <w:pPr>
              <w:pStyle w:val="TableParagraph"/>
              <w:spacing w:line="273" w:lineRule="exact"/>
              <w:ind w:left="16"/>
              <w:rPr>
                <w:b/>
                <w:sz w:val="24"/>
              </w:rPr>
            </w:pPr>
            <w:r>
              <w:rPr>
                <w:b/>
                <w:sz w:val="24"/>
              </w:rPr>
              <w:t>0</w:t>
            </w:r>
          </w:p>
        </w:tc>
        <w:tc>
          <w:tcPr>
            <w:tcW w:w="1168" w:type="dxa"/>
          </w:tcPr>
          <w:p w14:paraId="72E060D2" w14:textId="77777777" w:rsidR="001B4512" w:rsidRDefault="001B4512">
            <w:pPr>
              <w:pStyle w:val="TableParagraph"/>
              <w:spacing w:line="240" w:lineRule="auto"/>
              <w:jc w:val="left"/>
              <w:rPr>
                <w:rFonts w:ascii="Times New Roman"/>
              </w:rPr>
            </w:pPr>
          </w:p>
        </w:tc>
      </w:tr>
      <w:tr w:rsidR="001B4512" w14:paraId="47405DB0" w14:textId="77777777">
        <w:trPr>
          <w:trHeight w:val="292"/>
        </w:trPr>
        <w:tc>
          <w:tcPr>
            <w:tcW w:w="1802" w:type="dxa"/>
          </w:tcPr>
          <w:p w14:paraId="0985152B" w14:textId="77777777" w:rsidR="001B4512" w:rsidRDefault="00EC0EFD">
            <w:pPr>
              <w:pStyle w:val="TableParagraph"/>
              <w:ind w:left="534" w:right="525"/>
              <w:rPr>
                <w:b/>
                <w:sz w:val="24"/>
              </w:rPr>
            </w:pPr>
            <w:r>
              <w:rPr>
                <w:b/>
                <w:sz w:val="24"/>
              </w:rPr>
              <w:t>Dept C</w:t>
            </w:r>
          </w:p>
        </w:tc>
        <w:tc>
          <w:tcPr>
            <w:tcW w:w="1167" w:type="dxa"/>
          </w:tcPr>
          <w:p w14:paraId="5189BCE1" w14:textId="77777777" w:rsidR="001B4512" w:rsidRDefault="00EC0EFD">
            <w:pPr>
              <w:pStyle w:val="TableParagraph"/>
              <w:ind w:left="523"/>
              <w:jc w:val="left"/>
              <w:rPr>
                <w:b/>
                <w:sz w:val="24"/>
              </w:rPr>
            </w:pPr>
            <w:r>
              <w:rPr>
                <w:b/>
                <w:sz w:val="24"/>
              </w:rPr>
              <w:t>1</w:t>
            </w:r>
          </w:p>
        </w:tc>
        <w:tc>
          <w:tcPr>
            <w:tcW w:w="1168" w:type="dxa"/>
          </w:tcPr>
          <w:p w14:paraId="2C1FEEAA" w14:textId="77777777" w:rsidR="001B4512" w:rsidRDefault="00EC0EFD">
            <w:pPr>
              <w:pStyle w:val="TableParagraph"/>
              <w:spacing w:before="47" w:line="153" w:lineRule="auto"/>
              <w:ind w:left="139" w:right="129"/>
              <w:rPr>
                <w:b/>
                <w:sz w:val="16"/>
              </w:rPr>
            </w:pPr>
            <w:r>
              <w:rPr>
                <w:b/>
                <w:position w:val="-7"/>
                <w:sz w:val="24"/>
              </w:rPr>
              <w:t>5</w:t>
            </w:r>
            <w:proofErr w:type="spellStart"/>
            <w:r>
              <w:rPr>
                <w:b/>
                <w:sz w:val="16"/>
              </w:rPr>
              <w:t>th</w:t>
            </w:r>
            <w:proofErr w:type="spellEnd"/>
          </w:p>
        </w:tc>
        <w:tc>
          <w:tcPr>
            <w:tcW w:w="1168" w:type="dxa"/>
          </w:tcPr>
          <w:p w14:paraId="6013AAF3" w14:textId="77777777" w:rsidR="001B4512" w:rsidRDefault="00EC0EFD">
            <w:pPr>
              <w:pStyle w:val="TableParagraph"/>
              <w:ind w:left="13"/>
              <w:rPr>
                <w:b/>
                <w:sz w:val="24"/>
              </w:rPr>
            </w:pPr>
            <w:r>
              <w:rPr>
                <w:b/>
                <w:sz w:val="24"/>
              </w:rPr>
              <w:t>1</w:t>
            </w:r>
          </w:p>
        </w:tc>
        <w:tc>
          <w:tcPr>
            <w:tcW w:w="1169" w:type="dxa"/>
          </w:tcPr>
          <w:p w14:paraId="6D921925" w14:textId="77777777" w:rsidR="001B4512" w:rsidRDefault="00EC0EFD">
            <w:pPr>
              <w:pStyle w:val="TableParagraph"/>
              <w:spacing w:before="47" w:line="153" w:lineRule="auto"/>
              <w:ind w:left="145" w:right="132"/>
              <w:rPr>
                <w:b/>
                <w:sz w:val="16"/>
              </w:rPr>
            </w:pPr>
            <w:r>
              <w:rPr>
                <w:b/>
                <w:position w:val="-7"/>
                <w:sz w:val="24"/>
              </w:rPr>
              <w:t>15</w:t>
            </w:r>
            <w:proofErr w:type="spellStart"/>
            <w:r>
              <w:rPr>
                <w:b/>
                <w:sz w:val="16"/>
              </w:rPr>
              <w:t>th</w:t>
            </w:r>
            <w:proofErr w:type="spellEnd"/>
          </w:p>
        </w:tc>
        <w:tc>
          <w:tcPr>
            <w:tcW w:w="1168" w:type="dxa"/>
          </w:tcPr>
          <w:p w14:paraId="18DB9DB9" w14:textId="77777777" w:rsidR="001B4512" w:rsidRDefault="00EC0EFD">
            <w:pPr>
              <w:pStyle w:val="TableParagraph"/>
              <w:ind w:left="16"/>
              <w:rPr>
                <w:b/>
                <w:sz w:val="24"/>
              </w:rPr>
            </w:pPr>
            <w:r>
              <w:rPr>
                <w:b/>
                <w:sz w:val="24"/>
              </w:rPr>
              <w:t>8</w:t>
            </w:r>
          </w:p>
        </w:tc>
        <w:tc>
          <w:tcPr>
            <w:tcW w:w="1168" w:type="dxa"/>
          </w:tcPr>
          <w:p w14:paraId="3C3E90A8" w14:textId="77777777" w:rsidR="001B4512" w:rsidRDefault="00EC0EFD">
            <w:pPr>
              <w:pStyle w:val="TableParagraph"/>
              <w:spacing w:before="47" w:line="153" w:lineRule="auto"/>
              <w:ind w:left="145" w:right="127"/>
              <w:rPr>
                <w:b/>
                <w:sz w:val="16"/>
              </w:rPr>
            </w:pPr>
            <w:r>
              <w:rPr>
                <w:b/>
                <w:position w:val="-7"/>
                <w:sz w:val="24"/>
              </w:rPr>
              <w:t>60</w:t>
            </w:r>
            <w:proofErr w:type="spellStart"/>
            <w:r>
              <w:rPr>
                <w:b/>
                <w:sz w:val="16"/>
              </w:rPr>
              <w:t>th</w:t>
            </w:r>
            <w:proofErr w:type="spellEnd"/>
          </w:p>
        </w:tc>
      </w:tr>
      <w:tr w:rsidR="001B4512" w14:paraId="645A3E59" w14:textId="77777777">
        <w:trPr>
          <w:trHeight w:val="293"/>
        </w:trPr>
        <w:tc>
          <w:tcPr>
            <w:tcW w:w="1802" w:type="dxa"/>
          </w:tcPr>
          <w:p w14:paraId="0B570EEB" w14:textId="77777777" w:rsidR="001B4512" w:rsidRDefault="00EC0EFD">
            <w:pPr>
              <w:pStyle w:val="TableParagraph"/>
              <w:spacing w:line="274" w:lineRule="exact"/>
              <w:ind w:left="534" w:right="527"/>
              <w:rPr>
                <w:b/>
                <w:sz w:val="24"/>
              </w:rPr>
            </w:pPr>
            <w:r>
              <w:rPr>
                <w:b/>
                <w:sz w:val="24"/>
              </w:rPr>
              <w:t>Dept D</w:t>
            </w:r>
          </w:p>
        </w:tc>
        <w:tc>
          <w:tcPr>
            <w:tcW w:w="1167" w:type="dxa"/>
          </w:tcPr>
          <w:p w14:paraId="25E40904" w14:textId="77777777" w:rsidR="001B4512" w:rsidRDefault="00EC0EFD">
            <w:pPr>
              <w:pStyle w:val="TableParagraph"/>
              <w:spacing w:line="274" w:lineRule="exact"/>
              <w:ind w:left="523"/>
              <w:jc w:val="left"/>
              <w:rPr>
                <w:b/>
                <w:sz w:val="24"/>
              </w:rPr>
            </w:pPr>
            <w:r>
              <w:rPr>
                <w:b/>
                <w:sz w:val="24"/>
              </w:rPr>
              <w:t>0</w:t>
            </w:r>
          </w:p>
        </w:tc>
        <w:tc>
          <w:tcPr>
            <w:tcW w:w="1168" w:type="dxa"/>
          </w:tcPr>
          <w:p w14:paraId="383AA868" w14:textId="77777777" w:rsidR="001B4512" w:rsidRDefault="001B4512">
            <w:pPr>
              <w:pStyle w:val="TableParagraph"/>
              <w:spacing w:line="240" w:lineRule="auto"/>
              <w:jc w:val="left"/>
              <w:rPr>
                <w:rFonts w:ascii="Times New Roman"/>
              </w:rPr>
            </w:pPr>
          </w:p>
        </w:tc>
        <w:tc>
          <w:tcPr>
            <w:tcW w:w="1168" w:type="dxa"/>
          </w:tcPr>
          <w:p w14:paraId="3D5B8256" w14:textId="77777777" w:rsidR="001B4512" w:rsidRDefault="00EC0EFD">
            <w:pPr>
              <w:pStyle w:val="TableParagraph"/>
              <w:spacing w:line="274" w:lineRule="exact"/>
              <w:ind w:left="13"/>
              <w:rPr>
                <w:b/>
                <w:sz w:val="24"/>
              </w:rPr>
            </w:pPr>
            <w:r>
              <w:rPr>
                <w:b/>
                <w:sz w:val="24"/>
              </w:rPr>
              <w:t>0</w:t>
            </w:r>
          </w:p>
        </w:tc>
        <w:tc>
          <w:tcPr>
            <w:tcW w:w="1169" w:type="dxa"/>
          </w:tcPr>
          <w:p w14:paraId="7AA3EDF0" w14:textId="77777777" w:rsidR="001B4512" w:rsidRDefault="001B4512">
            <w:pPr>
              <w:pStyle w:val="TableParagraph"/>
              <w:spacing w:line="240" w:lineRule="auto"/>
              <w:jc w:val="left"/>
              <w:rPr>
                <w:rFonts w:ascii="Times New Roman"/>
              </w:rPr>
            </w:pPr>
          </w:p>
        </w:tc>
        <w:tc>
          <w:tcPr>
            <w:tcW w:w="1168" w:type="dxa"/>
          </w:tcPr>
          <w:p w14:paraId="7DEC0213" w14:textId="77777777" w:rsidR="001B4512" w:rsidRDefault="00EC0EFD">
            <w:pPr>
              <w:pStyle w:val="TableParagraph"/>
              <w:spacing w:line="274" w:lineRule="exact"/>
              <w:ind w:left="144" w:right="129"/>
              <w:rPr>
                <w:b/>
                <w:sz w:val="24"/>
              </w:rPr>
            </w:pPr>
            <w:r>
              <w:rPr>
                <w:b/>
                <w:sz w:val="24"/>
              </w:rPr>
              <w:t>10</w:t>
            </w:r>
          </w:p>
        </w:tc>
        <w:tc>
          <w:tcPr>
            <w:tcW w:w="1168" w:type="dxa"/>
          </w:tcPr>
          <w:p w14:paraId="621896B3" w14:textId="77777777" w:rsidR="001B4512" w:rsidRDefault="00EC0EFD">
            <w:pPr>
              <w:pStyle w:val="TableParagraph"/>
              <w:spacing w:before="47" w:line="153" w:lineRule="auto"/>
              <w:ind w:left="145" w:right="127"/>
              <w:rPr>
                <w:b/>
                <w:sz w:val="16"/>
              </w:rPr>
            </w:pPr>
            <w:r>
              <w:rPr>
                <w:b/>
                <w:position w:val="-7"/>
                <w:sz w:val="24"/>
              </w:rPr>
              <w:t>50</w:t>
            </w:r>
            <w:proofErr w:type="spellStart"/>
            <w:r>
              <w:rPr>
                <w:b/>
                <w:sz w:val="16"/>
              </w:rPr>
              <w:t>th</w:t>
            </w:r>
            <w:proofErr w:type="spellEnd"/>
          </w:p>
        </w:tc>
      </w:tr>
      <w:tr w:rsidR="001B4512" w14:paraId="6EDE7032" w14:textId="77777777">
        <w:trPr>
          <w:trHeight w:val="292"/>
        </w:trPr>
        <w:tc>
          <w:tcPr>
            <w:tcW w:w="1802" w:type="dxa"/>
          </w:tcPr>
          <w:p w14:paraId="7516B6B1" w14:textId="77777777" w:rsidR="001B4512" w:rsidRDefault="00EC0EFD">
            <w:pPr>
              <w:pStyle w:val="TableParagraph"/>
              <w:ind w:left="534" w:right="525"/>
              <w:rPr>
                <w:b/>
                <w:sz w:val="24"/>
              </w:rPr>
            </w:pPr>
            <w:r>
              <w:rPr>
                <w:b/>
                <w:sz w:val="24"/>
              </w:rPr>
              <w:t>Dept E</w:t>
            </w:r>
          </w:p>
        </w:tc>
        <w:tc>
          <w:tcPr>
            <w:tcW w:w="1167" w:type="dxa"/>
          </w:tcPr>
          <w:p w14:paraId="036BA6C1" w14:textId="77777777" w:rsidR="001B4512" w:rsidRDefault="00EC0EFD">
            <w:pPr>
              <w:pStyle w:val="TableParagraph"/>
              <w:ind w:left="462"/>
              <w:jc w:val="left"/>
              <w:rPr>
                <w:b/>
                <w:sz w:val="24"/>
              </w:rPr>
            </w:pPr>
            <w:r>
              <w:rPr>
                <w:b/>
                <w:sz w:val="24"/>
              </w:rPr>
              <w:t>10</w:t>
            </w:r>
          </w:p>
        </w:tc>
        <w:tc>
          <w:tcPr>
            <w:tcW w:w="1168" w:type="dxa"/>
          </w:tcPr>
          <w:p w14:paraId="53E8F6BB" w14:textId="77777777" w:rsidR="001B4512" w:rsidRDefault="00EC0EFD">
            <w:pPr>
              <w:pStyle w:val="TableParagraph"/>
              <w:spacing w:before="47" w:line="153" w:lineRule="auto"/>
              <w:ind w:left="140" w:right="129"/>
              <w:rPr>
                <w:b/>
                <w:sz w:val="16"/>
              </w:rPr>
            </w:pPr>
            <w:r>
              <w:rPr>
                <w:b/>
                <w:position w:val="-7"/>
                <w:sz w:val="24"/>
              </w:rPr>
              <w:t>50</w:t>
            </w:r>
            <w:proofErr w:type="spellStart"/>
            <w:r>
              <w:rPr>
                <w:b/>
                <w:sz w:val="16"/>
              </w:rPr>
              <w:t>th</w:t>
            </w:r>
            <w:proofErr w:type="spellEnd"/>
          </w:p>
        </w:tc>
        <w:tc>
          <w:tcPr>
            <w:tcW w:w="1168" w:type="dxa"/>
          </w:tcPr>
          <w:p w14:paraId="2B4E3BC0" w14:textId="77777777" w:rsidR="001B4512" w:rsidRDefault="00EC0EFD">
            <w:pPr>
              <w:pStyle w:val="TableParagraph"/>
              <w:ind w:left="13"/>
              <w:rPr>
                <w:b/>
                <w:sz w:val="24"/>
              </w:rPr>
            </w:pPr>
            <w:r>
              <w:rPr>
                <w:b/>
                <w:sz w:val="24"/>
              </w:rPr>
              <w:t>0</w:t>
            </w:r>
          </w:p>
        </w:tc>
        <w:tc>
          <w:tcPr>
            <w:tcW w:w="1169" w:type="dxa"/>
          </w:tcPr>
          <w:p w14:paraId="73570A17" w14:textId="77777777" w:rsidR="001B4512" w:rsidRDefault="001B4512">
            <w:pPr>
              <w:pStyle w:val="TableParagraph"/>
              <w:spacing w:line="240" w:lineRule="auto"/>
              <w:jc w:val="left"/>
              <w:rPr>
                <w:rFonts w:ascii="Times New Roman"/>
                <w:sz w:val="20"/>
              </w:rPr>
            </w:pPr>
          </w:p>
        </w:tc>
        <w:tc>
          <w:tcPr>
            <w:tcW w:w="1168" w:type="dxa"/>
          </w:tcPr>
          <w:p w14:paraId="6D2B1049" w14:textId="77777777" w:rsidR="001B4512" w:rsidRDefault="00EC0EFD">
            <w:pPr>
              <w:pStyle w:val="TableParagraph"/>
              <w:ind w:left="16"/>
              <w:rPr>
                <w:b/>
                <w:sz w:val="24"/>
              </w:rPr>
            </w:pPr>
            <w:r>
              <w:rPr>
                <w:b/>
                <w:sz w:val="24"/>
              </w:rPr>
              <w:t>0</w:t>
            </w:r>
          </w:p>
        </w:tc>
        <w:tc>
          <w:tcPr>
            <w:tcW w:w="1168" w:type="dxa"/>
          </w:tcPr>
          <w:p w14:paraId="281CAB25" w14:textId="77777777" w:rsidR="001B4512" w:rsidRDefault="001B4512">
            <w:pPr>
              <w:pStyle w:val="TableParagraph"/>
              <w:spacing w:line="240" w:lineRule="auto"/>
              <w:jc w:val="left"/>
              <w:rPr>
                <w:rFonts w:ascii="Times New Roman"/>
                <w:sz w:val="20"/>
              </w:rPr>
            </w:pPr>
          </w:p>
        </w:tc>
      </w:tr>
    </w:tbl>
    <w:p w14:paraId="6683327C" w14:textId="77777777" w:rsidR="001B4512" w:rsidRDefault="00EC0EFD">
      <w:pPr>
        <w:pStyle w:val="BodyText"/>
        <w:spacing w:before="159" w:line="259" w:lineRule="auto"/>
        <w:ind w:left="119" w:right="116"/>
        <w:jc w:val="both"/>
      </w:pPr>
      <w:r>
        <w:t>Following the percentile method, a dean might award merit raises to the highly rated members of Departments A and B and to none in Department C. The effect is that generally high ratings in one department</w:t>
      </w:r>
      <w:r>
        <w:rPr>
          <w:spacing w:val="-4"/>
        </w:rPr>
        <w:t xml:space="preserve"> </w:t>
      </w:r>
      <w:r>
        <w:t>do</w:t>
      </w:r>
      <w:r>
        <w:rPr>
          <w:spacing w:val="-5"/>
        </w:rPr>
        <w:t xml:space="preserve"> </w:t>
      </w:r>
      <w:r>
        <w:t>not</w:t>
      </w:r>
      <w:r>
        <w:rPr>
          <w:spacing w:val="-5"/>
        </w:rPr>
        <w:t xml:space="preserve"> </w:t>
      </w:r>
      <w:r>
        <w:t>benefit</w:t>
      </w:r>
      <w:r>
        <w:rPr>
          <w:spacing w:val="-4"/>
        </w:rPr>
        <w:t xml:space="preserve"> </w:t>
      </w:r>
      <w:r>
        <w:t>that</w:t>
      </w:r>
      <w:r>
        <w:rPr>
          <w:spacing w:val="-4"/>
        </w:rPr>
        <w:t xml:space="preserve"> </w:t>
      </w:r>
      <w:r>
        <w:t>department</w:t>
      </w:r>
      <w:r>
        <w:rPr>
          <w:spacing w:val="-4"/>
        </w:rPr>
        <w:t xml:space="preserve"> </w:t>
      </w:r>
      <w:r>
        <w:t>relative</w:t>
      </w:r>
      <w:r>
        <w:rPr>
          <w:spacing w:val="-3"/>
        </w:rPr>
        <w:t xml:space="preserve"> </w:t>
      </w:r>
      <w:r>
        <w:t>to</w:t>
      </w:r>
      <w:r>
        <w:rPr>
          <w:spacing w:val="-6"/>
        </w:rPr>
        <w:t xml:space="preserve"> </w:t>
      </w:r>
      <w:r>
        <w:t>another.</w:t>
      </w:r>
      <w:r>
        <w:rPr>
          <w:spacing w:val="-5"/>
        </w:rPr>
        <w:t xml:space="preserve"> </w:t>
      </w:r>
      <w:proofErr w:type="gramStart"/>
      <w:r>
        <w:t>Thus</w:t>
      </w:r>
      <w:proofErr w:type="gramEnd"/>
      <w:r>
        <w:rPr>
          <w:spacing w:val="-3"/>
        </w:rPr>
        <w:t xml:space="preserve"> </w:t>
      </w:r>
      <w:r>
        <w:t>a</w:t>
      </w:r>
      <w:r>
        <w:rPr>
          <w:spacing w:val="-5"/>
        </w:rPr>
        <w:t xml:space="preserve"> </w:t>
      </w:r>
      <w:r>
        <w:t>chair</w:t>
      </w:r>
      <w:r>
        <w:rPr>
          <w:spacing w:val="-4"/>
        </w:rPr>
        <w:t xml:space="preserve"> </w:t>
      </w:r>
      <w:r>
        <w:t>best</w:t>
      </w:r>
      <w:r>
        <w:rPr>
          <w:spacing w:val="-5"/>
        </w:rPr>
        <w:t xml:space="preserve"> </w:t>
      </w:r>
      <w:r>
        <w:t>promotes</w:t>
      </w:r>
      <w:r>
        <w:rPr>
          <w:spacing w:val="-4"/>
        </w:rPr>
        <w:t xml:space="preserve"> </w:t>
      </w:r>
      <w:r>
        <w:t>the</w:t>
      </w:r>
      <w:r>
        <w:rPr>
          <w:spacing w:val="-4"/>
        </w:rPr>
        <w:t xml:space="preserve"> </w:t>
      </w:r>
      <w:r>
        <w:t xml:space="preserve">welfare of his or her department by assigning ratings with restraint, and the Dean need not attempt to enforce a uniform distribution of ratings among different departments. </w:t>
      </w:r>
      <w:proofErr w:type="gramStart"/>
      <w:r>
        <w:t>Moreover</w:t>
      </w:r>
      <w:proofErr w:type="gramEnd"/>
      <w:r>
        <w:t xml:space="preserve"> restraint in assigning the “Above</w:t>
      </w:r>
      <w:r>
        <w:rPr>
          <w:spacing w:val="-14"/>
        </w:rPr>
        <w:t xml:space="preserve"> </w:t>
      </w:r>
      <w:r>
        <w:t>Expecta</w:t>
      </w:r>
      <w:r>
        <w:t>tions”</w:t>
      </w:r>
      <w:r>
        <w:rPr>
          <w:spacing w:val="-14"/>
        </w:rPr>
        <w:t xml:space="preserve"> </w:t>
      </w:r>
      <w:r>
        <w:t>and</w:t>
      </w:r>
      <w:r>
        <w:rPr>
          <w:spacing w:val="-15"/>
        </w:rPr>
        <w:t xml:space="preserve"> </w:t>
      </w:r>
      <w:r>
        <w:t>“Exceptional”</w:t>
      </w:r>
      <w:r>
        <w:rPr>
          <w:spacing w:val="-13"/>
        </w:rPr>
        <w:t xml:space="preserve"> </w:t>
      </w:r>
      <w:r>
        <w:t>ratings</w:t>
      </w:r>
      <w:r>
        <w:rPr>
          <w:spacing w:val="-16"/>
        </w:rPr>
        <w:t xml:space="preserve"> </w:t>
      </w:r>
      <w:r>
        <w:t>has</w:t>
      </w:r>
      <w:r>
        <w:rPr>
          <w:spacing w:val="-15"/>
        </w:rPr>
        <w:t xml:space="preserve"> </w:t>
      </w:r>
      <w:r>
        <w:t>the</w:t>
      </w:r>
      <w:r>
        <w:rPr>
          <w:spacing w:val="-15"/>
        </w:rPr>
        <w:t xml:space="preserve"> </w:t>
      </w:r>
      <w:r>
        <w:t>effect</w:t>
      </w:r>
      <w:r>
        <w:rPr>
          <w:spacing w:val="-16"/>
        </w:rPr>
        <w:t xml:space="preserve"> </w:t>
      </w:r>
      <w:r>
        <w:t>of</w:t>
      </w:r>
      <w:r>
        <w:rPr>
          <w:spacing w:val="-15"/>
        </w:rPr>
        <w:t xml:space="preserve"> </w:t>
      </w:r>
      <w:r>
        <w:t>making</w:t>
      </w:r>
      <w:r>
        <w:rPr>
          <w:spacing w:val="-14"/>
        </w:rPr>
        <w:t xml:space="preserve"> </w:t>
      </w:r>
      <w:r>
        <w:t>the</w:t>
      </w:r>
      <w:r>
        <w:rPr>
          <w:spacing w:val="-14"/>
        </w:rPr>
        <w:t xml:space="preserve"> </w:t>
      </w:r>
      <w:r>
        <w:t>“Meets</w:t>
      </w:r>
      <w:r>
        <w:rPr>
          <w:spacing w:val="-16"/>
        </w:rPr>
        <w:t xml:space="preserve"> </w:t>
      </w:r>
      <w:r>
        <w:t>Expectations”</w:t>
      </w:r>
      <w:r>
        <w:rPr>
          <w:spacing w:val="-13"/>
        </w:rPr>
        <w:t xml:space="preserve"> </w:t>
      </w:r>
      <w:r>
        <w:t>rating</w:t>
      </w:r>
    </w:p>
    <w:p w14:paraId="5234B6DB" w14:textId="77777777" w:rsidR="001B4512" w:rsidRDefault="001B4512">
      <w:pPr>
        <w:spacing w:line="259" w:lineRule="auto"/>
        <w:jc w:val="both"/>
        <w:sectPr w:rsidR="001B4512">
          <w:pgSz w:w="12240" w:h="15840"/>
          <w:pgMar w:top="640" w:right="960" w:bottom="280" w:left="960" w:header="720" w:footer="720" w:gutter="0"/>
          <w:cols w:space="720"/>
        </w:sectPr>
      </w:pPr>
    </w:p>
    <w:p w14:paraId="4B57DA68" w14:textId="77777777" w:rsidR="001B4512" w:rsidRDefault="00EC0EFD">
      <w:pPr>
        <w:pStyle w:val="BodyText"/>
        <w:spacing w:before="39" w:line="259" w:lineRule="auto"/>
        <w:ind w:left="119" w:right="117"/>
        <w:jc w:val="both"/>
      </w:pPr>
      <w:r>
        <w:lastRenderedPageBreak/>
        <w:t>more meritorious. Finally, it is understood that deans have the authority to distribute merit raises, that they balance several considerations when doing so, and that percentiles in very small departments would require special attention. The method is ther</w:t>
      </w:r>
      <w:r>
        <w:t>efore intended only as a general guide to the dean.</w:t>
      </w:r>
    </w:p>
    <w:p w14:paraId="0462A260" w14:textId="77777777" w:rsidR="001B4512" w:rsidRDefault="00EC0EFD">
      <w:pPr>
        <w:pStyle w:val="BodyText"/>
        <w:spacing w:before="160" w:line="259" w:lineRule="auto"/>
        <w:ind w:left="120" w:right="117"/>
        <w:jc w:val="both"/>
      </w:pPr>
      <w:r>
        <w:rPr>
          <w:b/>
          <w:u w:val="single"/>
        </w:rPr>
        <w:t>Communication</w:t>
      </w:r>
      <w:r>
        <w:rPr>
          <w:b/>
        </w:rPr>
        <w:t xml:space="preserve">. </w:t>
      </w:r>
      <w:r>
        <w:t>The overall annual performance ratings are determined by the department chair. Chairs are vetted representatives of the College and University and are in the appropriate position to judge t</w:t>
      </w:r>
      <w:r>
        <w:t>heir faculty members’ performance in the context of their training, experience, and faculty rank. Furthermore, chairs assign the annual workload that is being evaluated. Ultimately, the chair’s recommendations are reviewed by the Dean of the College and th</w:t>
      </w:r>
      <w:r>
        <w:t>e Provost.</w:t>
      </w:r>
    </w:p>
    <w:p w14:paraId="56FBE124" w14:textId="77777777" w:rsidR="001B4512" w:rsidRDefault="00EC0EFD">
      <w:pPr>
        <w:pStyle w:val="BodyText"/>
        <w:spacing w:before="158" w:line="259" w:lineRule="auto"/>
        <w:ind w:left="119" w:right="116"/>
        <w:jc w:val="both"/>
      </w:pPr>
      <w:r>
        <w:t>It is incumbent upon each department chair to communicate clear evaluation guidelines to the faculty in each department. To help ensure consistent ratings across the College despite the range of departments, it is critical that each department c</w:t>
      </w:r>
      <w:r>
        <w:t>hair meet with the Dean annually to discuss how the ratings</w:t>
      </w:r>
      <w:r>
        <w:rPr>
          <w:spacing w:val="-5"/>
        </w:rPr>
        <w:t xml:space="preserve"> </w:t>
      </w:r>
      <w:r>
        <w:t>will</w:t>
      </w:r>
      <w:r>
        <w:rPr>
          <w:spacing w:val="-4"/>
        </w:rPr>
        <w:t xml:space="preserve"> </w:t>
      </w:r>
      <w:r>
        <w:t>be</w:t>
      </w:r>
      <w:r>
        <w:rPr>
          <w:spacing w:val="-3"/>
        </w:rPr>
        <w:t xml:space="preserve"> </w:t>
      </w:r>
      <w:r>
        <w:t>determined.</w:t>
      </w:r>
      <w:r>
        <w:rPr>
          <w:spacing w:val="-4"/>
        </w:rPr>
        <w:t xml:space="preserve"> </w:t>
      </w:r>
      <w:r>
        <w:t>That</w:t>
      </w:r>
      <w:r>
        <w:rPr>
          <w:spacing w:val="-4"/>
        </w:rPr>
        <w:t xml:space="preserve"> </w:t>
      </w:r>
      <w:r>
        <w:t>will</w:t>
      </w:r>
      <w:r>
        <w:rPr>
          <w:spacing w:val="-4"/>
        </w:rPr>
        <w:t xml:space="preserve"> </w:t>
      </w:r>
      <w:r>
        <w:t>place</w:t>
      </w:r>
      <w:r>
        <w:rPr>
          <w:spacing w:val="-2"/>
        </w:rPr>
        <w:t xml:space="preserve"> </w:t>
      </w:r>
      <w:r>
        <w:t>the</w:t>
      </w:r>
      <w:r>
        <w:rPr>
          <w:spacing w:val="-3"/>
        </w:rPr>
        <w:t xml:space="preserve"> </w:t>
      </w:r>
      <w:r>
        <w:t>Dean</w:t>
      </w:r>
      <w:r>
        <w:rPr>
          <w:spacing w:val="-4"/>
        </w:rPr>
        <w:t xml:space="preserve"> </w:t>
      </w:r>
      <w:r>
        <w:t>in</w:t>
      </w:r>
      <w:r>
        <w:rPr>
          <w:spacing w:val="-4"/>
        </w:rPr>
        <w:t xml:space="preserve"> </w:t>
      </w:r>
      <w:r>
        <w:t>a</w:t>
      </w:r>
      <w:r>
        <w:rPr>
          <w:spacing w:val="-4"/>
        </w:rPr>
        <w:t xml:space="preserve"> </w:t>
      </w:r>
      <w:r>
        <w:t>better</w:t>
      </w:r>
      <w:r>
        <w:rPr>
          <w:spacing w:val="-4"/>
        </w:rPr>
        <w:t xml:space="preserve"> </w:t>
      </w:r>
      <w:r>
        <w:t>position</w:t>
      </w:r>
      <w:r>
        <w:rPr>
          <w:spacing w:val="-3"/>
        </w:rPr>
        <w:t xml:space="preserve"> </w:t>
      </w:r>
      <w:r>
        <w:t>to</w:t>
      </w:r>
      <w:r>
        <w:rPr>
          <w:spacing w:val="-4"/>
        </w:rPr>
        <w:t xml:space="preserve"> </w:t>
      </w:r>
      <w:r>
        <w:t>observe</w:t>
      </w:r>
      <w:r>
        <w:rPr>
          <w:spacing w:val="-3"/>
        </w:rPr>
        <w:t xml:space="preserve"> </w:t>
      </w:r>
      <w:r>
        <w:t>both</w:t>
      </w:r>
      <w:r>
        <w:rPr>
          <w:spacing w:val="-4"/>
        </w:rPr>
        <w:t xml:space="preserve"> </w:t>
      </w:r>
      <w:r>
        <w:t>the</w:t>
      </w:r>
      <w:r>
        <w:rPr>
          <w:spacing w:val="-3"/>
        </w:rPr>
        <w:t xml:space="preserve"> </w:t>
      </w:r>
      <w:r>
        <w:t>consistency and fairness of overall ratings. It is the responsibility of the Dean to communicate to the Provos</w:t>
      </w:r>
      <w:r>
        <w:t>t and President the accuracy and fairness of overall</w:t>
      </w:r>
      <w:r>
        <w:rPr>
          <w:spacing w:val="-4"/>
        </w:rPr>
        <w:t xml:space="preserve"> </w:t>
      </w:r>
      <w:r>
        <w:t>ratings.</w:t>
      </w:r>
    </w:p>
    <w:p w14:paraId="17F8F8A0" w14:textId="77777777" w:rsidR="001B4512" w:rsidRDefault="00EC0EFD">
      <w:pPr>
        <w:pStyle w:val="BodyText"/>
        <w:spacing w:before="159" w:line="259" w:lineRule="auto"/>
        <w:ind w:left="120" w:right="116"/>
        <w:jc w:val="both"/>
      </w:pPr>
      <w:r>
        <w:rPr>
          <w:b/>
          <w:u w:val="single"/>
        </w:rPr>
        <w:t>Measuring job performance</w:t>
      </w:r>
      <w:r>
        <w:rPr>
          <w:b/>
        </w:rPr>
        <w:t xml:space="preserve">. </w:t>
      </w:r>
      <w:r>
        <w:t>The metrics for measuring job performance must be in line with the University’s mission. In particular, teaching students remains a fundamental mission and is the majo</w:t>
      </w:r>
      <w:r>
        <w:t xml:space="preserve">r expectation for non‐tenure‐track teaching faculty. Moreover, a high level of scholarship in the various forms it takes is also expected. Finally, both intra‐ and extramural service are an important part of our mission and are expected of all faculty. It </w:t>
      </w:r>
      <w:r>
        <w:t>is an overall expectation that faculty are engaged, collegial, and cooperative.</w:t>
      </w:r>
    </w:p>
    <w:p w14:paraId="4566BDBC" w14:textId="77777777" w:rsidR="001B4512" w:rsidRDefault="00EC0EFD">
      <w:pPr>
        <w:pStyle w:val="BodyText"/>
        <w:spacing w:before="159" w:line="259" w:lineRule="auto"/>
        <w:ind w:left="120" w:right="116"/>
        <w:jc w:val="both"/>
      </w:pPr>
      <w:r>
        <w:rPr>
          <w:b/>
          <w:u w:val="single"/>
        </w:rPr>
        <w:t>Non‐Tenure‐Track Teaching Faculty</w:t>
      </w:r>
      <w:r>
        <w:t>: Minimally, the overall annual performance rating for Non‐Tenure‐ Track Teaching Faculty will be based in varying proportions on the following</w:t>
      </w:r>
      <w:r>
        <w:t>:</w:t>
      </w:r>
    </w:p>
    <w:p w14:paraId="1189A433" w14:textId="77777777" w:rsidR="001B4512" w:rsidRDefault="00EC0EFD">
      <w:pPr>
        <w:pStyle w:val="ListParagraph"/>
        <w:numPr>
          <w:ilvl w:val="0"/>
          <w:numId w:val="1"/>
        </w:numPr>
        <w:tabs>
          <w:tab w:val="left" w:pos="839"/>
          <w:tab w:val="left" w:pos="840"/>
        </w:tabs>
        <w:spacing w:before="158"/>
        <w:rPr>
          <w:rFonts w:ascii="Symbol" w:hAnsi="Symbol"/>
          <w:sz w:val="24"/>
        </w:rPr>
      </w:pPr>
      <w:r>
        <w:rPr>
          <w:sz w:val="24"/>
        </w:rPr>
        <w:t>Student</w:t>
      </w:r>
      <w:r>
        <w:rPr>
          <w:spacing w:val="-1"/>
          <w:sz w:val="24"/>
        </w:rPr>
        <w:t xml:space="preserve"> </w:t>
      </w:r>
      <w:r>
        <w:rPr>
          <w:sz w:val="24"/>
        </w:rPr>
        <w:t>advising/mentoring</w:t>
      </w:r>
    </w:p>
    <w:p w14:paraId="686CF644" w14:textId="77777777" w:rsidR="001B4512" w:rsidRDefault="00EC0EFD">
      <w:pPr>
        <w:pStyle w:val="ListParagraph"/>
        <w:numPr>
          <w:ilvl w:val="0"/>
          <w:numId w:val="1"/>
        </w:numPr>
        <w:tabs>
          <w:tab w:val="left" w:pos="839"/>
          <w:tab w:val="left" w:pos="840"/>
        </w:tabs>
        <w:rPr>
          <w:rFonts w:ascii="Symbol" w:hAnsi="Symbol"/>
          <w:sz w:val="24"/>
        </w:rPr>
      </w:pPr>
      <w:r>
        <w:rPr>
          <w:sz w:val="24"/>
        </w:rPr>
        <w:t>University, College, Departmental</w:t>
      </w:r>
      <w:r>
        <w:rPr>
          <w:spacing w:val="-2"/>
          <w:sz w:val="24"/>
        </w:rPr>
        <w:t xml:space="preserve"> </w:t>
      </w:r>
      <w:r>
        <w:rPr>
          <w:sz w:val="24"/>
        </w:rPr>
        <w:t>Service</w:t>
      </w:r>
    </w:p>
    <w:p w14:paraId="37308251" w14:textId="77777777" w:rsidR="001B4512" w:rsidRDefault="00EC0EFD">
      <w:pPr>
        <w:pStyle w:val="ListParagraph"/>
        <w:numPr>
          <w:ilvl w:val="0"/>
          <w:numId w:val="1"/>
        </w:numPr>
        <w:tabs>
          <w:tab w:val="left" w:pos="839"/>
          <w:tab w:val="left" w:pos="840"/>
        </w:tabs>
        <w:spacing w:before="1" w:line="305" w:lineRule="exact"/>
        <w:rPr>
          <w:rFonts w:ascii="Symbol" w:hAnsi="Symbol"/>
          <w:sz w:val="24"/>
        </w:rPr>
      </w:pPr>
      <w:r>
        <w:rPr>
          <w:sz w:val="24"/>
        </w:rPr>
        <w:t>Contributions to recruiting and retention of students (includes any outreach</w:t>
      </w:r>
      <w:r>
        <w:rPr>
          <w:spacing w:val="-16"/>
          <w:sz w:val="24"/>
        </w:rPr>
        <w:t xml:space="preserve"> </w:t>
      </w:r>
      <w:r>
        <w:rPr>
          <w:sz w:val="24"/>
        </w:rPr>
        <w:t>activity)</w:t>
      </w:r>
    </w:p>
    <w:p w14:paraId="5B0441AE" w14:textId="77777777" w:rsidR="001B4512" w:rsidRDefault="00EC0EFD">
      <w:pPr>
        <w:pStyle w:val="ListParagraph"/>
        <w:numPr>
          <w:ilvl w:val="0"/>
          <w:numId w:val="1"/>
        </w:numPr>
        <w:tabs>
          <w:tab w:val="left" w:pos="839"/>
          <w:tab w:val="left" w:pos="840"/>
        </w:tabs>
        <w:spacing w:line="305" w:lineRule="exact"/>
        <w:ind w:hanging="361"/>
        <w:rPr>
          <w:rFonts w:ascii="Symbol" w:hAnsi="Symbol"/>
          <w:sz w:val="24"/>
        </w:rPr>
      </w:pPr>
      <w:r>
        <w:rPr>
          <w:sz w:val="24"/>
        </w:rPr>
        <w:t>Number of student credit hours taught including the breadth of</w:t>
      </w:r>
      <w:r>
        <w:rPr>
          <w:spacing w:val="-14"/>
          <w:sz w:val="24"/>
        </w:rPr>
        <w:t xml:space="preserve"> </w:t>
      </w:r>
      <w:r>
        <w:rPr>
          <w:sz w:val="24"/>
        </w:rPr>
        <w:t>classes</w:t>
      </w:r>
    </w:p>
    <w:p w14:paraId="4D588B66" w14:textId="77777777" w:rsidR="001B4512" w:rsidRDefault="00EC0EFD">
      <w:pPr>
        <w:pStyle w:val="ListParagraph"/>
        <w:numPr>
          <w:ilvl w:val="0"/>
          <w:numId w:val="1"/>
        </w:numPr>
        <w:tabs>
          <w:tab w:val="left" w:pos="839"/>
          <w:tab w:val="left" w:pos="840"/>
        </w:tabs>
        <w:ind w:hanging="361"/>
        <w:rPr>
          <w:rFonts w:ascii="Symbol" w:hAnsi="Symbol"/>
          <w:sz w:val="24"/>
        </w:rPr>
      </w:pPr>
      <w:r>
        <w:rPr>
          <w:sz w:val="24"/>
        </w:rPr>
        <w:t>Effectiveness of</w:t>
      </w:r>
      <w:r>
        <w:rPr>
          <w:spacing w:val="-3"/>
          <w:sz w:val="24"/>
        </w:rPr>
        <w:t xml:space="preserve"> </w:t>
      </w:r>
      <w:r>
        <w:rPr>
          <w:sz w:val="24"/>
        </w:rPr>
        <w:t>instruction</w:t>
      </w:r>
    </w:p>
    <w:p w14:paraId="58E8A411" w14:textId="77777777" w:rsidR="001B4512" w:rsidRDefault="00EC0EFD">
      <w:pPr>
        <w:pStyle w:val="ListParagraph"/>
        <w:numPr>
          <w:ilvl w:val="0"/>
          <w:numId w:val="1"/>
        </w:numPr>
        <w:tabs>
          <w:tab w:val="left" w:pos="839"/>
          <w:tab w:val="left" w:pos="840"/>
        </w:tabs>
        <w:ind w:hanging="361"/>
        <w:rPr>
          <w:rFonts w:ascii="Symbol" w:hAnsi="Symbol"/>
          <w:sz w:val="24"/>
        </w:rPr>
      </w:pPr>
      <w:r>
        <w:rPr>
          <w:sz w:val="24"/>
        </w:rPr>
        <w:t>Other duties as expected by the</w:t>
      </w:r>
      <w:r>
        <w:rPr>
          <w:spacing w:val="-5"/>
          <w:sz w:val="24"/>
        </w:rPr>
        <w:t xml:space="preserve"> </w:t>
      </w:r>
      <w:r>
        <w:rPr>
          <w:sz w:val="24"/>
        </w:rPr>
        <w:t>Department</w:t>
      </w:r>
    </w:p>
    <w:p w14:paraId="6FEAFC1C" w14:textId="77777777" w:rsidR="001B4512" w:rsidRDefault="00EC0EFD">
      <w:pPr>
        <w:pStyle w:val="BodyText"/>
        <w:spacing w:before="161" w:line="259" w:lineRule="auto"/>
        <w:ind w:left="120" w:right="117"/>
        <w:jc w:val="both"/>
      </w:pPr>
      <w:r>
        <w:rPr>
          <w:b/>
          <w:u w:val="single"/>
        </w:rPr>
        <w:t>Non‐Tenure‐Track Research Faculty</w:t>
      </w:r>
      <w:r>
        <w:rPr>
          <w:b/>
        </w:rPr>
        <w:t xml:space="preserve">: </w:t>
      </w:r>
      <w:r>
        <w:t>Minimally, the overall annual performance rating for Non‐Tenure‐ Track Research Faculty will be based in varying proportions on the following:</w:t>
      </w:r>
    </w:p>
    <w:p w14:paraId="24D6B981" w14:textId="77777777" w:rsidR="001B4512" w:rsidRDefault="00EC0EFD">
      <w:pPr>
        <w:pStyle w:val="ListParagraph"/>
        <w:numPr>
          <w:ilvl w:val="0"/>
          <w:numId w:val="1"/>
        </w:numPr>
        <w:tabs>
          <w:tab w:val="left" w:pos="839"/>
          <w:tab w:val="left" w:pos="840"/>
        </w:tabs>
        <w:spacing w:before="158"/>
        <w:rPr>
          <w:rFonts w:ascii="Symbol" w:hAnsi="Symbol"/>
          <w:sz w:val="24"/>
        </w:rPr>
      </w:pPr>
      <w:r>
        <w:rPr>
          <w:sz w:val="24"/>
        </w:rPr>
        <w:t>University, College, Departmental</w:t>
      </w:r>
      <w:r>
        <w:rPr>
          <w:spacing w:val="-2"/>
          <w:sz w:val="24"/>
        </w:rPr>
        <w:t xml:space="preserve"> </w:t>
      </w:r>
      <w:r>
        <w:rPr>
          <w:sz w:val="24"/>
        </w:rPr>
        <w:t>Service</w:t>
      </w:r>
    </w:p>
    <w:p w14:paraId="5C97631A" w14:textId="77777777" w:rsidR="001B4512" w:rsidRDefault="00EC0EFD">
      <w:pPr>
        <w:pStyle w:val="ListParagraph"/>
        <w:numPr>
          <w:ilvl w:val="0"/>
          <w:numId w:val="1"/>
        </w:numPr>
        <w:tabs>
          <w:tab w:val="left" w:pos="839"/>
          <w:tab w:val="left" w:pos="840"/>
        </w:tabs>
        <w:rPr>
          <w:rFonts w:ascii="Symbol" w:hAnsi="Symbol"/>
          <w:sz w:val="24"/>
        </w:rPr>
      </w:pPr>
      <w:r>
        <w:rPr>
          <w:sz w:val="24"/>
        </w:rPr>
        <w:t>Publication record interpreted in terms of the</w:t>
      </w:r>
      <w:r>
        <w:rPr>
          <w:spacing w:val="-8"/>
          <w:sz w:val="24"/>
        </w:rPr>
        <w:t xml:space="preserve"> </w:t>
      </w:r>
      <w:r>
        <w:rPr>
          <w:sz w:val="24"/>
        </w:rPr>
        <w:t>discipline</w:t>
      </w:r>
    </w:p>
    <w:p w14:paraId="36C1C319" w14:textId="77777777" w:rsidR="001B4512" w:rsidRDefault="00EC0EFD">
      <w:pPr>
        <w:pStyle w:val="ListParagraph"/>
        <w:numPr>
          <w:ilvl w:val="0"/>
          <w:numId w:val="1"/>
        </w:numPr>
        <w:tabs>
          <w:tab w:val="left" w:pos="839"/>
          <w:tab w:val="left" w:pos="840"/>
        </w:tabs>
        <w:spacing w:before="1"/>
        <w:ind w:hanging="361"/>
        <w:rPr>
          <w:rFonts w:ascii="Symbol" w:hAnsi="Symbol"/>
          <w:sz w:val="24"/>
        </w:rPr>
      </w:pPr>
      <w:r>
        <w:rPr>
          <w:sz w:val="24"/>
        </w:rPr>
        <w:t>Funding recor</w:t>
      </w:r>
      <w:r>
        <w:rPr>
          <w:sz w:val="24"/>
        </w:rPr>
        <w:t>d inclusive of the effort to obtain</w:t>
      </w:r>
      <w:r>
        <w:rPr>
          <w:spacing w:val="-6"/>
          <w:sz w:val="24"/>
        </w:rPr>
        <w:t xml:space="preserve"> </w:t>
      </w:r>
      <w:r>
        <w:rPr>
          <w:sz w:val="24"/>
        </w:rPr>
        <w:t>funding</w:t>
      </w:r>
    </w:p>
    <w:p w14:paraId="42666A14" w14:textId="77777777" w:rsidR="001B4512" w:rsidRDefault="00EC0EFD">
      <w:pPr>
        <w:pStyle w:val="ListParagraph"/>
        <w:numPr>
          <w:ilvl w:val="0"/>
          <w:numId w:val="1"/>
        </w:numPr>
        <w:tabs>
          <w:tab w:val="left" w:pos="839"/>
          <w:tab w:val="left" w:pos="840"/>
        </w:tabs>
        <w:spacing w:line="305" w:lineRule="exact"/>
        <w:ind w:hanging="361"/>
        <w:rPr>
          <w:rFonts w:ascii="Symbol" w:hAnsi="Symbol"/>
          <w:sz w:val="24"/>
        </w:rPr>
      </w:pPr>
      <w:r>
        <w:rPr>
          <w:sz w:val="24"/>
        </w:rPr>
        <w:t>National and international</w:t>
      </w:r>
      <w:r>
        <w:rPr>
          <w:spacing w:val="-3"/>
          <w:sz w:val="24"/>
        </w:rPr>
        <w:t xml:space="preserve"> </w:t>
      </w:r>
      <w:r>
        <w:rPr>
          <w:sz w:val="24"/>
        </w:rPr>
        <w:t>recognition</w:t>
      </w:r>
    </w:p>
    <w:p w14:paraId="6E004C7E" w14:textId="77777777" w:rsidR="001B4512" w:rsidRDefault="00EC0EFD">
      <w:pPr>
        <w:pStyle w:val="ListParagraph"/>
        <w:numPr>
          <w:ilvl w:val="0"/>
          <w:numId w:val="1"/>
        </w:numPr>
        <w:tabs>
          <w:tab w:val="left" w:pos="839"/>
          <w:tab w:val="left" w:pos="840"/>
        </w:tabs>
        <w:spacing w:line="305" w:lineRule="exact"/>
        <w:ind w:hanging="361"/>
        <w:rPr>
          <w:rFonts w:ascii="Symbol" w:hAnsi="Symbol"/>
          <w:sz w:val="24"/>
        </w:rPr>
      </w:pPr>
      <w:r>
        <w:rPr>
          <w:sz w:val="24"/>
        </w:rPr>
        <w:t>Professional</w:t>
      </w:r>
      <w:r>
        <w:rPr>
          <w:spacing w:val="-1"/>
          <w:sz w:val="24"/>
        </w:rPr>
        <w:t xml:space="preserve"> </w:t>
      </w:r>
      <w:r>
        <w:rPr>
          <w:sz w:val="24"/>
        </w:rPr>
        <w:t>service</w:t>
      </w:r>
    </w:p>
    <w:p w14:paraId="1C8365B4" w14:textId="77777777" w:rsidR="001B4512" w:rsidRDefault="00EC0EFD">
      <w:pPr>
        <w:pStyle w:val="ListParagraph"/>
        <w:numPr>
          <w:ilvl w:val="0"/>
          <w:numId w:val="1"/>
        </w:numPr>
        <w:tabs>
          <w:tab w:val="left" w:pos="839"/>
          <w:tab w:val="left" w:pos="840"/>
        </w:tabs>
        <w:ind w:hanging="361"/>
        <w:rPr>
          <w:rFonts w:ascii="Symbol" w:hAnsi="Symbol"/>
          <w:sz w:val="24"/>
        </w:rPr>
      </w:pPr>
      <w:r>
        <w:rPr>
          <w:sz w:val="24"/>
        </w:rPr>
        <w:t>Contributions to student research</w:t>
      </w:r>
      <w:r>
        <w:rPr>
          <w:spacing w:val="-5"/>
          <w:sz w:val="24"/>
        </w:rPr>
        <w:t xml:space="preserve"> </w:t>
      </w:r>
      <w:r>
        <w:rPr>
          <w:sz w:val="24"/>
        </w:rPr>
        <w:t>advising</w:t>
      </w:r>
    </w:p>
    <w:p w14:paraId="77E15B77" w14:textId="77777777" w:rsidR="001B4512" w:rsidRDefault="00EC0EFD">
      <w:pPr>
        <w:pStyle w:val="ListParagraph"/>
        <w:numPr>
          <w:ilvl w:val="0"/>
          <w:numId w:val="1"/>
        </w:numPr>
        <w:tabs>
          <w:tab w:val="left" w:pos="839"/>
          <w:tab w:val="left" w:pos="840"/>
        </w:tabs>
        <w:spacing w:before="45"/>
        <w:ind w:hanging="361"/>
        <w:rPr>
          <w:rFonts w:ascii="Symbol" w:hAnsi="Symbol"/>
          <w:sz w:val="24"/>
        </w:rPr>
      </w:pPr>
      <w:r>
        <w:rPr>
          <w:sz w:val="24"/>
        </w:rPr>
        <w:t>Other duties as expected by the</w:t>
      </w:r>
      <w:r>
        <w:rPr>
          <w:spacing w:val="-5"/>
          <w:sz w:val="24"/>
        </w:rPr>
        <w:t xml:space="preserve"> </w:t>
      </w:r>
      <w:r>
        <w:rPr>
          <w:sz w:val="24"/>
        </w:rPr>
        <w:t>Department</w:t>
      </w:r>
    </w:p>
    <w:p w14:paraId="1B7EE376" w14:textId="77777777" w:rsidR="001B4512" w:rsidRDefault="00EC0EFD">
      <w:pPr>
        <w:pStyle w:val="BodyText"/>
        <w:spacing w:before="244" w:line="259" w:lineRule="auto"/>
        <w:ind w:left="120" w:right="117"/>
        <w:jc w:val="both"/>
      </w:pPr>
      <w:r>
        <w:rPr>
          <w:b/>
          <w:u w:val="single"/>
        </w:rPr>
        <w:t>Tenure‐Track</w:t>
      </w:r>
      <w:r>
        <w:rPr>
          <w:b/>
          <w:spacing w:val="-6"/>
          <w:u w:val="single"/>
        </w:rPr>
        <w:t xml:space="preserve"> </w:t>
      </w:r>
      <w:r>
        <w:rPr>
          <w:b/>
          <w:u w:val="single"/>
        </w:rPr>
        <w:t>Faculty</w:t>
      </w:r>
      <w:r>
        <w:rPr>
          <w:b/>
        </w:rPr>
        <w:t>:</w:t>
      </w:r>
      <w:r>
        <w:rPr>
          <w:b/>
          <w:spacing w:val="-7"/>
        </w:rPr>
        <w:t xml:space="preserve"> </w:t>
      </w:r>
      <w:r>
        <w:t>Minimally,</w:t>
      </w:r>
      <w:r>
        <w:rPr>
          <w:spacing w:val="-6"/>
        </w:rPr>
        <w:t xml:space="preserve"> </w:t>
      </w:r>
      <w:r>
        <w:t>the</w:t>
      </w:r>
      <w:r>
        <w:rPr>
          <w:spacing w:val="-7"/>
        </w:rPr>
        <w:t xml:space="preserve"> </w:t>
      </w:r>
      <w:r>
        <w:t>overall</w:t>
      </w:r>
      <w:r>
        <w:rPr>
          <w:spacing w:val="-5"/>
        </w:rPr>
        <w:t xml:space="preserve"> </w:t>
      </w:r>
      <w:r>
        <w:t>annual</w:t>
      </w:r>
      <w:r>
        <w:rPr>
          <w:spacing w:val="-6"/>
        </w:rPr>
        <w:t xml:space="preserve"> </w:t>
      </w:r>
      <w:r>
        <w:t>performance</w:t>
      </w:r>
      <w:r>
        <w:rPr>
          <w:spacing w:val="-5"/>
        </w:rPr>
        <w:t xml:space="preserve"> </w:t>
      </w:r>
      <w:r>
        <w:t>ra</w:t>
      </w:r>
      <w:r>
        <w:t>ting</w:t>
      </w:r>
      <w:r>
        <w:rPr>
          <w:spacing w:val="-7"/>
        </w:rPr>
        <w:t xml:space="preserve"> </w:t>
      </w:r>
      <w:r>
        <w:t>for</w:t>
      </w:r>
      <w:r>
        <w:rPr>
          <w:spacing w:val="-6"/>
        </w:rPr>
        <w:t xml:space="preserve"> </w:t>
      </w:r>
      <w:r>
        <w:t>Tenure‐Track</w:t>
      </w:r>
      <w:r>
        <w:rPr>
          <w:spacing w:val="-6"/>
        </w:rPr>
        <w:t xml:space="preserve"> </w:t>
      </w:r>
      <w:r>
        <w:t>Faculty</w:t>
      </w:r>
      <w:r>
        <w:rPr>
          <w:spacing w:val="-5"/>
        </w:rPr>
        <w:t xml:space="preserve"> </w:t>
      </w:r>
      <w:r>
        <w:t>will</w:t>
      </w:r>
      <w:r>
        <w:rPr>
          <w:spacing w:val="-6"/>
        </w:rPr>
        <w:t xml:space="preserve"> </w:t>
      </w:r>
      <w:r>
        <w:t>be based in varying proportions on the</w:t>
      </w:r>
      <w:r>
        <w:rPr>
          <w:spacing w:val="-4"/>
        </w:rPr>
        <w:t xml:space="preserve"> </w:t>
      </w:r>
      <w:r>
        <w:t>following:</w:t>
      </w:r>
    </w:p>
    <w:p w14:paraId="6DE8E9D3" w14:textId="77777777" w:rsidR="001B4512" w:rsidRDefault="00EC0EFD">
      <w:pPr>
        <w:pStyle w:val="ListParagraph"/>
        <w:numPr>
          <w:ilvl w:val="0"/>
          <w:numId w:val="1"/>
        </w:numPr>
        <w:tabs>
          <w:tab w:val="left" w:pos="839"/>
          <w:tab w:val="left" w:pos="840"/>
        </w:tabs>
        <w:spacing w:before="159"/>
        <w:ind w:hanging="361"/>
        <w:rPr>
          <w:rFonts w:ascii="Symbol" w:hAnsi="Symbol"/>
          <w:sz w:val="24"/>
        </w:rPr>
      </w:pPr>
      <w:r>
        <w:rPr>
          <w:sz w:val="24"/>
        </w:rPr>
        <w:t>Student</w:t>
      </w:r>
      <w:r>
        <w:rPr>
          <w:spacing w:val="-1"/>
          <w:sz w:val="24"/>
        </w:rPr>
        <w:t xml:space="preserve"> </w:t>
      </w:r>
      <w:r>
        <w:rPr>
          <w:sz w:val="24"/>
        </w:rPr>
        <w:t>advising/mentoring</w:t>
      </w:r>
    </w:p>
    <w:p w14:paraId="1B5F3A31" w14:textId="77777777" w:rsidR="001B4512" w:rsidRDefault="00EC0EFD">
      <w:pPr>
        <w:pStyle w:val="ListParagraph"/>
        <w:numPr>
          <w:ilvl w:val="0"/>
          <w:numId w:val="1"/>
        </w:numPr>
        <w:tabs>
          <w:tab w:val="left" w:pos="839"/>
          <w:tab w:val="left" w:pos="840"/>
        </w:tabs>
        <w:ind w:hanging="361"/>
        <w:rPr>
          <w:rFonts w:ascii="Symbol" w:hAnsi="Symbol"/>
          <w:sz w:val="24"/>
        </w:rPr>
      </w:pPr>
      <w:r>
        <w:rPr>
          <w:sz w:val="24"/>
        </w:rPr>
        <w:t>University, College, Departmental</w:t>
      </w:r>
      <w:r>
        <w:rPr>
          <w:spacing w:val="-2"/>
          <w:sz w:val="24"/>
        </w:rPr>
        <w:t xml:space="preserve"> </w:t>
      </w:r>
      <w:r>
        <w:rPr>
          <w:sz w:val="24"/>
        </w:rPr>
        <w:t>Service</w:t>
      </w:r>
    </w:p>
    <w:p w14:paraId="2F482B11" w14:textId="77777777" w:rsidR="001B4512" w:rsidRDefault="001B4512">
      <w:pPr>
        <w:rPr>
          <w:rFonts w:ascii="Symbol" w:hAnsi="Symbol"/>
          <w:sz w:val="24"/>
        </w:rPr>
        <w:sectPr w:rsidR="001B4512">
          <w:pgSz w:w="12240" w:h="15840"/>
          <w:pgMar w:top="680" w:right="960" w:bottom="280" w:left="960" w:header="720" w:footer="720" w:gutter="0"/>
          <w:cols w:space="720"/>
        </w:sectPr>
      </w:pPr>
    </w:p>
    <w:p w14:paraId="7EA8E6AA" w14:textId="77777777" w:rsidR="001B4512" w:rsidRDefault="00EC0EFD">
      <w:pPr>
        <w:pStyle w:val="ListParagraph"/>
        <w:numPr>
          <w:ilvl w:val="0"/>
          <w:numId w:val="1"/>
        </w:numPr>
        <w:tabs>
          <w:tab w:val="left" w:pos="839"/>
          <w:tab w:val="left" w:pos="840"/>
        </w:tabs>
        <w:spacing w:before="78"/>
        <w:rPr>
          <w:rFonts w:ascii="Symbol" w:hAnsi="Symbol"/>
          <w:sz w:val="24"/>
        </w:rPr>
      </w:pPr>
      <w:r>
        <w:rPr>
          <w:sz w:val="24"/>
        </w:rPr>
        <w:lastRenderedPageBreak/>
        <w:t>Contributions to recruiting and retention of students (includes any outreach</w:t>
      </w:r>
      <w:r>
        <w:rPr>
          <w:spacing w:val="-16"/>
          <w:sz w:val="24"/>
        </w:rPr>
        <w:t xml:space="preserve"> </w:t>
      </w:r>
      <w:r>
        <w:rPr>
          <w:sz w:val="24"/>
        </w:rPr>
        <w:t>activity)</w:t>
      </w:r>
    </w:p>
    <w:p w14:paraId="30A61081" w14:textId="77777777" w:rsidR="001B4512" w:rsidRDefault="00EC0EFD">
      <w:pPr>
        <w:pStyle w:val="ListParagraph"/>
        <w:numPr>
          <w:ilvl w:val="0"/>
          <w:numId w:val="1"/>
        </w:numPr>
        <w:tabs>
          <w:tab w:val="left" w:pos="839"/>
          <w:tab w:val="left" w:pos="840"/>
        </w:tabs>
        <w:spacing w:before="1"/>
        <w:ind w:hanging="361"/>
        <w:rPr>
          <w:rFonts w:ascii="Symbol" w:hAnsi="Symbol"/>
          <w:sz w:val="24"/>
        </w:rPr>
      </w:pPr>
      <w:r>
        <w:rPr>
          <w:sz w:val="24"/>
        </w:rPr>
        <w:t>Level, intensity, and enrollment of courses</w:t>
      </w:r>
      <w:r>
        <w:rPr>
          <w:spacing w:val="-4"/>
          <w:sz w:val="24"/>
        </w:rPr>
        <w:t xml:space="preserve"> </w:t>
      </w:r>
      <w:r>
        <w:rPr>
          <w:sz w:val="24"/>
        </w:rPr>
        <w:t>taught</w:t>
      </w:r>
    </w:p>
    <w:p w14:paraId="6DD3EB5E" w14:textId="77777777" w:rsidR="001B4512" w:rsidRDefault="00EC0EFD">
      <w:pPr>
        <w:pStyle w:val="ListParagraph"/>
        <w:numPr>
          <w:ilvl w:val="0"/>
          <w:numId w:val="1"/>
        </w:numPr>
        <w:tabs>
          <w:tab w:val="left" w:pos="839"/>
          <w:tab w:val="left" w:pos="840"/>
        </w:tabs>
        <w:spacing w:line="305" w:lineRule="exact"/>
        <w:ind w:hanging="361"/>
        <w:rPr>
          <w:rFonts w:ascii="Symbol" w:hAnsi="Symbol"/>
          <w:sz w:val="24"/>
        </w:rPr>
      </w:pPr>
      <w:r>
        <w:rPr>
          <w:sz w:val="24"/>
        </w:rPr>
        <w:t>Effectiveness of</w:t>
      </w:r>
      <w:r>
        <w:rPr>
          <w:spacing w:val="-3"/>
          <w:sz w:val="24"/>
        </w:rPr>
        <w:t xml:space="preserve"> </w:t>
      </w:r>
      <w:r>
        <w:rPr>
          <w:sz w:val="24"/>
        </w:rPr>
        <w:t>instruction</w:t>
      </w:r>
    </w:p>
    <w:p w14:paraId="75F9726D" w14:textId="77777777" w:rsidR="001B4512" w:rsidRDefault="00EC0EFD">
      <w:pPr>
        <w:pStyle w:val="ListParagraph"/>
        <w:numPr>
          <w:ilvl w:val="0"/>
          <w:numId w:val="1"/>
        </w:numPr>
        <w:tabs>
          <w:tab w:val="left" w:pos="839"/>
          <w:tab w:val="left" w:pos="840"/>
        </w:tabs>
        <w:spacing w:line="305" w:lineRule="exact"/>
        <w:ind w:hanging="361"/>
        <w:rPr>
          <w:rFonts w:ascii="Symbol" w:hAnsi="Symbol"/>
          <w:sz w:val="24"/>
        </w:rPr>
      </w:pPr>
      <w:r>
        <w:rPr>
          <w:sz w:val="24"/>
        </w:rPr>
        <w:t>Publication record interpreted in terms of the</w:t>
      </w:r>
      <w:r>
        <w:rPr>
          <w:spacing w:val="-8"/>
          <w:sz w:val="24"/>
        </w:rPr>
        <w:t xml:space="preserve"> </w:t>
      </w:r>
      <w:r>
        <w:rPr>
          <w:sz w:val="24"/>
        </w:rPr>
        <w:t>discipline</w:t>
      </w:r>
    </w:p>
    <w:p w14:paraId="7DA7B468" w14:textId="77777777" w:rsidR="001B4512" w:rsidRDefault="00EC0EFD">
      <w:pPr>
        <w:pStyle w:val="ListParagraph"/>
        <w:numPr>
          <w:ilvl w:val="0"/>
          <w:numId w:val="1"/>
        </w:numPr>
        <w:tabs>
          <w:tab w:val="left" w:pos="839"/>
          <w:tab w:val="left" w:pos="840"/>
        </w:tabs>
        <w:ind w:hanging="361"/>
        <w:rPr>
          <w:rFonts w:ascii="Symbol" w:hAnsi="Symbol"/>
          <w:sz w:val="24"/>
        </w:rPr>
      </w:pPr>
      <w:r>
        <w:rPr>
          <w:sz w:val="24"/>
        </w:rPr>
        <w:t>Funding record inclusive of the</w:t>
      </w:r>
      <w:r>
        <w:rPr>
          <w:sz w:val="24"/>
        </w:rPr>
        <w:t xml:space="preserve"> effort to obtain</w:t>
      </w:r>
      <w:r>
        <w:rPr>
          <w:spacing w:val="-6"/>
          <w:sz w:val="24"/>
        </w:rPr>
        <w:t xml:space="preserve"> </w:t>
      </w:r>
      <w:r>
        <w:rPr>
          <w:sz w:val="24"/>
        </w:rPr>
        <w:t>funding</w:t>
      </w:r>
    </w:p>
    <w:p w14:paraId="25C100E1" w14:textId="77777777" w:rsidR="001B4512" w:rsidRDefault="00EC0EFD">
      <w:pPr>
        <w:pStyle w:val="ListParagraph"/>
        <w:numPr>
          <w:ilvl w:val="0"/>
          <w:numId w:val="1"/>
        </w:numPr>
        <w:tabs>
          <w:tab w:val="left" w:pos="839"/>
          <w:tab w:val="left" w:pos="840"/>
        </w:tabs>
        <w:ind w:hanging="361"/>
        <w:rPr>
          <w:rFonts w:ascii="Symbol" w:hAnsi="Symbol"/>
          <w:sz w:val="24"/>
        </w:rPr>
      </w:pPr>
      <w:r>
        <w:rPr>
          <w:sz w:val="24"/>
        </w:rPr>
        <w:t>National and international</w:t>
      </w:r>
      <w:r>
        <w:rPr>
          <w:spacing w:val="-3"/>
          <w:sz w:val="24"/>
        </w:rPr>
        <w:t xml:space="preserve"> </w:t>
      </w:r>
      <w:r>
        <w:rPr>
          <w:sz w:val="24"/>
        </w:rPr>
        <w:t>recognition</w:t>
      </w:r>
    </w:p>
    <w:p w14:paraId="784B7E64" w14:textId="77777777" w:rsidR="001B4512" w:rsidRDefault="00EC0EFD">
      <w:pPr>
        <w:pStyle w:val="ListParagraph"/>
        <w:numPr>
          <w:ilvl w:val="0"/>
          <w:numId w:val="1"/>
        </w:numPr>
        <w:tabs>
          <w:tab w:val="left" w:pos="839"/>
          <w:tab w:val="left" w:pos="840"/>
        </w:tabs>
        <w:rPr>
          <w:rFonts w:ascii="Symbol" w:hAnsi="Symbol"/>
        </w:rPr>
      </w:pPr>
      <w:r>
        <w:rPr>
          <w:sz w:val="24"/>
        </w:rPr>
        <w:t>Professional</w:t>
      </w:r>
      <w:r>
        <w:rPr>
          <w:spacing w:val="-1"/>
          <w:sz w:val="24"/>
        </w:rPr>
        <w:t xml:space="preserve"> </w:t>
      </w:r>
      <w:r>
        <w:rPr>
          <w:sz w:val="24"/>
        </w:rPr>
        <w:t>service</w:t>
      </w:r>
    </w:p>
    <w:p w14:paraId="033CCD8D" w14:textId="77777777" w:rsidR="001B4512" w:rsidRDefault="00EC0EFD">
      <w:pPr>
        <w:pStyle w:val="ListParagraph"/>
        <w:numPr>
          <w:ilvl w:val="0"/>
          <w:numId w:val="1"/>
        </w:numPr>
        <w:tabs>
          <w:tab w:val="left" w:pos="839"/>
          <w:tab w:val="left" w:pos="840"/>
        </w:tabs>
        <w:spacing w:before="44"/>
        <w:rPr>
          <w:rFonts w:ascii="Symbol" w:hAnsi="Symbol"/>
          <w:sz w:val="24"/>
        </w:rPr>
      </w:pPr>
      <w:r>
        <w:rPr>
          <w:sz w:val="24"/>
        </w:rPr>
        <w:t>Student research advising, as appropriate to department</w:t>
      </w:r>
      <w:r>
        <w:rPr>
          <w:spacing w:val="-7"/>
          <w:sz w:val="24"/>
        </w:rPr>
        <w:t xml:space="preserve"> </w:t>
      </w:r>
      <w:r>
        <w:rPr>
          <w:sz w:val="24"/>
        </w:rPr>
        <w:t>programs</w:t>
      </w:r>
    </w:p>
    <w:p w14:paraId="4EA63A37" w14:textId="77777777" w:rsidR="001B4512" w:rsidRDefault="00EC0EFD">
      <w:pPr>
        <w:pStyle w:val="ListParagraph"/>
        <w:numPr>
          <w:ilvl w:val="0"/>
          <w:numId w:val="1"/>
        </w:numPr>
        <w:tabs>
          <w:tab w:val="left" w:pos="839"/>
          <w:tab w:val="left" w:pos="840"/>
        </w:tabs>
        <w:spacing w:before="44"/>
        <w:rPr>
          <w:rFonts w:ascii="Symbol" w:hAnsi="Symbol"/>
        </w:rPr>
      </w:pPr>
      <w:r>
        <w:rPr>
          <w:sz w:val="24"/>
        </w:rPr>
        <w:t>Other duties as expected by the</w:t>
      </w:r>
      <w:r>
        <w:rPr>
          <w:spacing w:val="-5"/>
          <w:sz w:val="24"/>
        </w:rPr>
        <w:t xml:space="preserve"> </w:t>
      </w:r>
      <w:r>
        <w:rPr>
          <w:sz w:val="24"/>
        </w:rPr>
        <w:t>Department</w:t>
      </w:r>
    </w:p>
    <w:sectPr w:rsidR="001B4512">
      <w:pgSz w:w="12240" w:h="15840"/>
      <w:pgMar w:top="64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3ABD"/>
    <w:multiLevelType w:val="hybridMultilevel"/>
    <w:tmpl w:val="517EDBDC"/>
    <w:lvl w:ilvl="0" w:tplc="490CB5F4">
      <w:numFmt w:val="bullet"/>
      <w:lvlText w:val=""/>
      <w:lvlJc w:val="left"/>
      <w:pPr>
        <w:ind w:left="840" w:hanging="360"/>
      </w:pPr>
      <w:rPr>
        <w:rFonts w:hint="default"/>
        <w:w w:val="100"/>
      </w:rPr>
    </w:lvl>
    <w:lvl w:ilvl="1" w:tplc="D8887AB2">
      <w:numFmt w:val="bullet"/>
      <w:lvlText w:val="•"/>
      <w:lvlJc w:val="left"/>
      <w:pPr>
        <w:ind w:left="1788" w:hanging="360"/>
      </w:pPr>
      <w:rPr>
        <w:rFonts w:hint="default"/>
      </w:rPr>
    </w:lvl>
    <w:lvl w:ilvl="2" w:tplc="992E1EF0">
      <w:numFmt w:val="bullet"/>
      <w:lvlText w:val="•"/>
      <w:lvlJc w:val="left"/>
      <w:pPr>
        <w:ind w:left="2736" w:hanging="360"/>
      </w:pPr>
      <w:rPr>
        <w:rFonts w:hint="default"/>
      </w:rPr>
    </w:lvl>
    <w:lvl w:ilvl="3" w:tplc="1E6ECC36">
      <w:numFmt w:val="bullet"/>
      <w:lvlText w:val="•"/>
      <w:lvlJc w:val="left"/>
      <w:pPr>
        <w:ind w:left="3684" w:hanging="360"/>
      </w:pPr>
      <w:rPr>
        <w:rFonts w:hint="default"/>
      </w:rPr>
    </w:lvl>
    <w:lvl w:ilvl="4" w:tplc="C380979C">
      <w:numFmt w:val="bullet"/>
      <w:lvlText w:val="•"/>
      <w:lvlJc w:val="left"/>
      <w:pPr>
        <w:ind w:left="4632" w:hanging="360"/>
      </w:pPr>
      <w:rPr>
        <w:rFonts w:hint="default"/>
      </w:rPr>
    </w:lvl>
    <w:lvl w:ilvl="5" w:tplc="CA5EF6F8">
      <w:numFmt w:val="bullet"/>
      <w:lvlText w:val="•"/>
      <w:lvlJc w:val="left"/>
      <w:pPr>
        <w:ind w:left="5580" w:hanging="360"/>
      </w:pPr>
      <w:rPr>
        <w:rFonts w:hint="default"/>
      </w:rPr>
    </w:lvl>
    <w:lvl w:ilvl="6" w:tplc="3FDAD7FC">
      <w:numFmt w:val="bullet"/>
      <w:lvlText w:val="•"/>
      <w:lvlJc w:val="left"/>
      <w:pPr>
        <w:ind w:left="6528" w:hanging="360"/>
      </w:pPr>
      <w:rPr>
        <w:rFonts w:hint="default"/>
      </w:rPr>
    </w:lvl>
    <w:lvl w:ilvl="7" w:tplc="9EE2B35A">
      <w:numFmt w:val="bullet"/>
      <w:lvlText w:val="•"/>
      <w:lvlJc w:val="left"/>
      <w:pPr>
        <w:ind w:left="7476" w:hanging="360"/>
      </w:pPr>
      <w:rPr>
        <w:rFonts w:hint="default"/>
      </w:rPr>
    </w:lvl>
    <w:lvl w:ilvl="8" w:tplc="01FEE346">
      <w:numFmt w:val="bullet"/>
      <w:lvlText w:val="•"/>
      <w:lvlJc w:val="left"/>
      <w:pPr>
        <w:ind w:left="84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12"/>
    <w:rsid w:val="001B4512"/>
    <w:rsid w:val="00EC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924A"/>
  <w15:docId w15:val="{12B5382C-9528-4C5C-9420-BE132D55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72"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wccu.org/Standards%20and%20Policies/Standard%202/Standard%20Tw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u.edu/acadaff/faculty_evaluations.shtml%3B"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2077</Words>
  <Characters>11844</Characters>
  <Application>Microsoft Office Word</Application>
  <DocSecurity>0</DocSecurity>
  <Lines>98</Lines>
  <Paragraphs>27</Paragraphs>
  <ScaleCrop>false</ScaleCrop>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CoSE Annual Faculty Performance Evaluations.docx</dc:title>
  <dc:creator>Ronda</dc:creator>
  <cp:lastModifiedBy>Administrator</cp:lastModifiedBy>
  <cp:revision>2</cp:revision>
  <dcterms:created xsi:type="dcterms:W3CDTF">2023-06-16T15:02:00Z</dcterms:created>
  <dcterms:modified xsi:type="dcterms:W3CDTF">2023-06-16T15:02:00Z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PScript5.dll Version 5.2.2</vt:lpwstr>
  </property>
  <property fmtid="{D5CDD505-2E9C-101B-9397-08002B2CF9AE}" pid="4" name="LastSaved">
    <vt:filetime>2023-06-16T00:00:00Z</vt:filetime>
  </property>
</Properties>
</file>