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56835" w14:textId="77777777" w:rsidR="001014A7" w:rsidRDefault="00D423B9">
      <w:pPr>
        <w:pStyle w:val="Heading1"/>
        <w:ind w:left="1657"/>
      </w:pPr>
      <w:r>
        <w:t>Department of Civil and Environmental Engineering Idaho State University</w:t>
      </w:r>
    </w:p>
    <w:p w14:paraId="683B781E" w14:textId="77777777" w:rsidR="001014A7" w:rsidRDefault="001014A7">
      <w:pPr>
        <w:pStyle w:val="BodyText"/>
        <w:rPr>
          <w:b/>
          <w:sz w:val="30"/>
        </w:rPr>
      </w:pPr>
    </w:p>
    <w:p w14:paraId="4C7BFFF3" w14:textId="1940A288" w:rsidR="001014A7" w:rsidRDefault="00D423B9">
      <w:pPr>
        <w:spacing w:before="210"/>
        <w:ind w:left="1655" w:right="1655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1FB10C3" wp14:editId="4D1BD0E1">
                <wp:simplePos x="0" y="0"/>
                <wp:positionH relativeFrom="page">
                  <wp:posOffset>896620</wp:posOffset>
                </wp:positionH>
                <wp:positionV relativeFrom="paragraph">
                  <wp:posOffset>412115</wp:posOffset>
                </wp:positionV>
                <wp:extent cx="5981065" cy="1270"/>
                <wp:effectExtent l="0" t="0" r="0" b="0"/>
                <wp:wrapTopAndBottom/>
                <wp:docPr id="1" name="Freeform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65" cy="1270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D3FD0" id="Freeform 2" o:spid="_x0000_s1026" alt="&quot;&quot;" style="position:absolute;margin-left:70.6pt;margin-top:32.45pt;width:470.9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" path="m,l9419,e" filled="f" strokeweight="1.44pt">
                <v:path arrowok="t" o:connecttype="custom" o:connectlocs="0,0;5981065,0" o:connectangles="0,0"/>
                <w10:wrap type="topAndBottom" anchorx="page"/>
              </v:shape>
            </w:pict>
          </mc:Fallback>
        </mc:AlternateContent>
      </w:r>
      <w:r>
        <w:rPr>
          <w:b/>
          <w:sz w:val="28"/>
        </w:rPr>
        <w:t>MEMORANDUM</w:t>
      </w:r>
    </w:p>
    <w:p w14:paraId="4C16DA14" w14:textId="77777777" w:rsidR="001014A7" w:rsidRDefault="001014A7">
      <w:pPr>
        <w:pStyle w:val="BodyText"/>
        <w:spacing w:before="9"/>
        <w:rPr>
          <w:b/>
          <w:sz w:val="10"/>
        </w:rPr>
      </w:pPr>
    </w:p>
    <w:p w14:paraId="23B91213" w14:textId="77777777" w:rsidR="001014A7" w:rsidRDefault="00D423B9">
      <w:pPr>
        <w:pStyle w:val="BodyText"/>
        <w:tabs>
          <w:tab w:val="left" w:pos="1131"/>
        </w:tabs>
        <w:spacing w:before="90"/>
        <w:ind w:left="140" w:right="4116"/>
      </w:pPr>
      <w:r>
        <w:rPr>
          <w:b/>
        </w:rPr>
        <w:t>To:</w:t>
      </w:r>
      <w:r>
        <w:rPr>
          <w:b/>
        </w:rPr>
        <w:tab/>
      </w:r>
      <w:r>
        <w:t xml:space="preserve">Undergraduate Civil Engineering Students </w:t>
      </w:r>
      <w:r>
        <w:rPr>
          <w:b/>
        </w:rPr>
        <w:t>From:</w:t>
      </w:r>
      <w:r>
        <w:rPr>
          <w:b/>
        </w:rPr>
        <w:tab/>
      </w:r>
      <w:r>
        <w:t xml:space="preserve">Civil and Environmental Engineering Faculty </w:t>
      </w:r>
      <w:r>
        <w:rPr>
          <w:b/>
        </w:rPr>
        <w:t>Date:</w:t>
      </w:r>
      <w:r>
        <w:rPr>
          <w:b/>
        </w:rPr>
        <w:tab/>
      </w:r>
      <w:r>
        <w:t>January 16,</w:t>
      </w:r>
      <w:r>
        <w:rPr>
          <w:spacing w:val="-5"/>
        </w:rPr>
        <w:t xml:space="preserve"> </w:t>
      </w:r>
      <w:r>
        <w:t>2014</w:t>
      </w:r>
    </w:p>
    <w:p w14:paraId="0DF73075" w14:textId="77777777" w:rsidR="001014A7" w:rsidRDefault="00D423B9">
      <w:pPr>
        <w:pStyle w:val="BodyText"/>
        <w:ind w:left="140"/>
      </w:pPr>
      <w:r>
        <w:rPr>
          <w:b/>
        </w:rPr>
        <w:t xml:space="preserve">Subject: </w:t>
      </w:r>
      <w:r>
        <w:t>Civil Engineering Undergraduate Curriculum</w:t>
      </w:r>
    </w:p>
    <w:p w14:paraId="5F0AABE7" w14:textId="77777777" w:rsidR="001014A7" w:rsidRDefault="001014A7">
      <w:pPr>
        <w:pStyle w:val="BodyText"/>
        <w:rPr>
          <w:sz w:val="26"/>
        </w:rPr>
      </w:pPr>
    </w:p>
    <w:p w14:paraId="3771ADFC" w14:textId="77777777" w:rsidR="001014A7" w:rsidRDefault="001014A7">
      <w:pPr>
        <w:pStyle w:val="BodyText"/>
        <w:rPr>
          <w:sz w:val="22"/>
        </w:rPr>
      </w:pPr>
    </w:p>
    <w:p w14:paraId="1F2C7A0F" w14:textId="77777777" w:rsidR="001014A7" w:rsidRDefault="00D423B9">
      <w:pPr>
        <w:pStyle w:val="BodyText"/>
        <w:ind w:left="140" w:right="55"/>
      </w:pPr>
      <w:r>
        <w:t>A new Civil Engineering curriculum was recently approved by the Undergraduate Curriculum Council (see attachment). The Civil Engineering students entering the university in or after the Fall Semester of 2014 mus</w:t>
      </w:r>
      <w:r>
        <w:t>t satisfy the requirements of this new curriculum.</w:t>
      </w:r>
    </w:p>
    <w:p w14:paraId="08535F4E" w14:textId="77777777" w:rsidR="001014A7" w:rsidRDefault="001014A7">
      <w:pPr>
        <w:pStyle w:val="BodyText"/>
        <w:spacing w:before="1"/>
      </w:pPr>
    </w:p>
    <w:p w14:paraId="017BDC40" w14:textId="77777777" w:rsidR="001014A7" w:rsidRDefault="00D423B9">
      <w:pPr>
        <w:pStyle w:val="BodyText"/>
        <w:ind w:left="140"/>
      </w:pPr>
      <w:r>
        <w:t xml:space="preserve">Students who are presently in the CE Program can choose </w:t>
      </w:r>
      <w:proofErr w:type="gramStart"/>
      <w:r>
        <w:t>to</w:t>
      </w:r>
      <w:proofErr w:type="gramEnd"/>
      <w:r>
        <w:t xml:space="preserve"> either:</w:t>
      </w:r>
    </w:p>
    <w:p w14:paraId="07BD3D79" w14:textId="77777777" w:rsidR="001014A7" w:rsidRDefault="001014A7">
      <w:pPr>
        <w:pStyle w:val="BodyText"/>
      </w:pPr>
    </w:p>
    <w:p w14:paraId="01EC039C" w14:textId="77777777" w:rsidR="001014A7" w:rsidRDefault="00D423B9">
      <w:pPr>
        <w:pStyle w:val="ListParagraph"/>
        <w:numPr>
          <w:ilvl w:val="0"/>
          <w:numId w:val="2"/>
        </w:numPr>
        <w:tabs>
          <w:tab w:val="left" w:pos="861"/>
        </w:tabs>
        <w:ind w:right="1262"/>
        <w:rPr>
          <w:sz w:val="24"/>
        </w:rPr>
      </w:pPr>
      <w:r>
        <w:rPr>
          <w:sz w:val="24"/>
        </w:rPr>
        <w:t>Meet the published requirements at the time they entered the CE Program</w:t>
      </w:r>
      <w:r>
        <w:rPr>
          <w:spacing w:val="-13"/>
          <w:sz w:val="24"/>
        </w:rPr>
        <w:t xml:space="preserve"> </w:t>
      </w:r>
      <w:r>
        <w:rPr>
          <w:sz w:val="24"/>
        </w:rPr>
        <w:t>(old curriculum),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</w:p>
    <w:p w14:paraId="56531C93" w14:textId="77777777" w:rsidR="001014A7" w:rsidRDefault="00D423B9">
      <w:pPr>
        <w:pStyle w:val="ListParagraph"/>
        <w:numPr>
          <w:ilvl w:val="0"/>
          <w:numId w:val="2"/>
        </w:numPr>
        <w:tabs>
          <w:tab w:val="left" w:pos="861"/>
        </w:tabs>
        <w:spacing w:line="480" w:lineRule="auto"/>
        <w:ind w:left="140" w:right="4435" w:firstLine="360"/>
        <w:rPr>
          <w:sz w:val="24"/>
        </w:rPr>
      </w:pPr>
      <w:r>
        <w:rPr>
          <w:sz w:val="24"/>
        </w:rPr>
        <w:t>Meet the requirements of the new</w:t>
      </w:r>
      <w:r>
        <w:rPr>
          <w:spacing w:val="-9"/>
          <w:sz w:val="24"/>
        </w:rPr>
        <w:t xml:space="preserve"> </w:t>
      </w:r>
      <w:r>
        <w:rPr>
          <w:sz w:val="24"/>
        </w:rPr>
        <w:t>curriculum</w:t>
      </w:r>
      <w:r>
        <w:rPr>
          <w:sz w:val="24"/>
        </w:rPr>
        <w:t xml:space="preserve"> The following</w:t>
      </w:r>
      <w:r>
        <w:rPr>
          <w:spacing w:val="-3"/>
          <w:sz w:val="24"/>
        </w:rPr>
        <w:t xml:space="preserve"> </w:t>
      </w:r>
      <w:r>
        <w:rPr>
          <w:sz w:val="24"/>
        </w:rPr>
        <w:t>apply:</w:t>
      </w:r>
    </w:p>
    <w:p w14:paraId="4D7C0BA2" w14:textId="77777777" w:rsidR="001014A7" w:rsidRDefault="00D423B9">
      <w:pPr>
        <w:pStyle w:val="ListParagraph"/>
        <w:numPr>
          <w:ilvl w:val="0"/>
          <w:numId w:val="1"/>
        </w:numPr>
        <w:tabs>
          <w:tab w:val="left" w:pos="861"/>
        </w:tabs>
        <w:ind w:right="169"/>
        <w:rPr>
          <w:sz w:val="24"/>
        </w:rPr>
      </w:pPr>
      <w:r>
        <w:rPr>
          <w:sz w:val="24"/>
        </w:rPr>
        <w:t xml:space="preserve">If a student will be graduating under the </w:t>
      </w:r>
      <w:r>
        <w:rPr>
          <w:b/>
          <w:sz w:val="24"/>
        </w:rPr>
        <w:t xml:space="preserve">old </w:t>
      </w:r>
      <w:r>
        <w:rPr>
          <w:sz w:val="24"/>
        </w:rPr>
        <w:t>(Effective Fall 2011 or Effective Fall 2012) curriculum and has not taken the ENGR 2223/2224 Materials and Measurements and</w:t>
      </w:r>
      <w:r>
        <w:rPr>
          <w:spacing w:val="-12"/>
          <w:sz w:val="24"/>
        </w:rPr>
        <w:t xml:space="preserve"> </w:t>
      </w:r>
      <w:r>
        <w:rPr>
          <w:sz w:val="24"/>
        </w:rPr>
        <w:t>Lab and CE 4467 Structural Engineering Lab, the student may inst</w:t>
      </w:r>
      <w:r>
        <w:rPr>
          <w:sz w:val="24"/>
        </w:rPr>
        <w:t>ead take the new CE 3366/3367 Civil Engineering Materials and Lab in place of ENGR 2223/2224 and CE 4467.</w:t>
      </w:r>
    </w:p>
    <w:p w14:paraId="2AD71EF1" w14:textId="77777777" w:rsidR="001014A7" w:rsidRDefault="00D423B9">
      <w:pPr>
        <w:pStyle w:val="ListParagraph"/>
        <w:numPr>
          <w:ilvl w:val="0"/>
          <w:numId w:val="1"/>
        </w:numPr>
        <w:tabs>
          <w:tab w:val="left" w:pos="861"/>
        </w:tabs>
        <w:spacing w:before="1"/>
        <w:ind w:right="254"/>
        <w:jc w:val="both"/>
        <w:rPr>
          <w:sz w:val="24"/>
        </w:rPr>
      </w:pPr>
      <w:r>
        <w:rPr>
          <w:sz w:val="24"/>
        </w:rPr>
        <w:t xml:space="preserve">If a student is graduating under the </w:t>
      </w:r>
      <w:r>
        <w:rPr>
          <w:b/>
          <w:sz w:val="24"/>
        </w:rPr>
        <w:t xml:space="preserve">old </w:t>
      </w:r>
      <w:r>
        <w:rPr>
          <w:sz w:val="24"/>
        </w:rPr>
        <w:t>curriculum and has not taken CE 4467 Structural Engineering Lab, but has taken ENGR 2223/2224 Materials and Measurements and</w:t>
      </w:r>
      <w:r>
        <w:rPr>
          <w:spacing w:val="-12"/>
          <w:sz w:val="24"/>
        </w:rPr>
        <w:t xml:space="preserve"> </w:t>
      </w:r>
      <w:r>
        <w:rPr>
          <w:sz w:val="24"/>
        </w:rPr>
        <w:t>Lab, the student may use the new CE 3367 Civil Engineering Materials Lab instead of the CE 4467.</w:t>
      </w:r>
    </w:p>
    <w:p w14:paraId="19CADC45" w14:textId="77777777" w:rsidR="001014A7" w:rsidRDefault="00D423B9">
      <w:pPr>
        <w:pStyle w:val="ListParagraph"/>
        <w:numPr>
          <w:ilvl w:val="0"/>
          <w:numId w:val="1"/>
        </w:numPr>
        <w:tabs>
          <w:tab w:val="left" w:pos="861"/>
        </w:tabs>
        <w:ind w:hanging="361"/>
        <w:jc w:val="both"/>
        <w:rPr>
          <w:sz w:val="24"/>
        </w:rPr>
      </w:pPr>
      <w:r>
        <w:rPr>
          <w:sz w:val="24"/>
        </w:rPr>
        <w:t>The new CE 3337 Geotechnical Lab i</w:t>
      </w:r>
      <w:r>
        <w:rPr>
          <w:sz w:val="24"/>
        </w:rPr>
        <w:t>s the same as the old CE</w:t>
      </w:r>
      <w:r>
        <w:rPr>
          <w:spacing w:val="-3"/>
          <w:sz w:val="24"/>
        </w:rPr>
        <w:t xml:space="preserve"> </w:t>
      </w:r>
      <w:r>
        <w:rPr>
          <w:sz w:val="24"/>
        </w:rPr>
        <w:t>4437.</w:t>
      </w:r>
    </w:p>
    <w:p w14:paraId="1670F8F1" w14:textId="77777777" w:rsidR="001014A7" w:rsidRDefault="00D423B9">
      <w:pPr>
        <w:pStyle w:val="ListParagraph"/>
        <w:numPr>
          <w:ilvl w:val="0"/>
          <w:numId w:val="1"/>
        </w:numPr>
        <w:tabs>
          <w:tab w:val="left" w:pos="861"/>
        </w:tabs>
        <w:ind w:right="164"/>
        <w:rPr>
          <w:sz w:val="24"/>
        </w:rPr>
      </w:pPr>
      <w:r>
        <w:rPr>
          <w:sz w:val="24"/>
        </w:rPr>
        <w:t xml:space="preserve">If a student has taken ENGR 2223/2224 and needs to take CE 4436 Transportation Engineering to graduate under either the </w:t>
      </w:r>
      <w:r>
        <w:rPr>
          <w:b/>
          <w:sz w:val="24"/>
        </w:rPr>
        <w:t xml:space="preserve">old </w:t>
      </w:r>
      <w:r>
        <w:rPr>
          <w:sz w:val="24"/>
        </w:rPr>
        <w:t xml:space="preserve">or </w:t>
      </w:r>
      <w:r>
        <w:rPr>
          <w:b/>
          <w:sz w:val="24"/>
        </w:rPr>
        <w:t xml:space="preserve">new </w:t>
      </w:r>
      <w:r>
        <w:rPr>
          <w:sz w:val="24"/>
        </w:rPr>
        <w:t xml:space="preserve">curriculum, the student may take CE 4436 with prerequisites of ENGR 2224 and CE 3301 and pre- </w:t>
      </w:r>
      <w:r>
        <w:rPr>
          <w:sz w:val="24"/>
        </w:rPr>
        <w:t>or co-requisite of CE 3332. Note that under the new curriculum CE 4436 has prerequisites of CE 3301, CE 3337, and CE</w:t>
      </w:r>
      <w:r>
        <w:rPr>
          <w:spacing w:val="-1"/>
          <w:sz w:val="24"/>
        </w:rPr>
        <w:t xml:space="preserve"> </w:t>
      </w:r>
      <w:r>
        <w:rPr>
          <w:sz w:val="24"/>
        </w:rPr>
        <w:t>3367.</w:t>
      </w:r>
    </w:p>
    <w:p w14:paraId="070B0009" w14:textId="77777777" w:rsidR="001014A7" w:rsidRDefault="00D423B9">
      <w:pPr>
        <w:pStyle w:val="ListParagraph"/>
        <w:numPr>
          <w:ilvl w:val="0"/>
          <w:numId w:val="1"/>
        </w:numPr>
        <w:tabs>
          <w:tab w:val="left" w:pos="861"/>
        </w:tabs>
        <w:ind w:right="180"/>
        <w:rPr>
          <w:sz w:val="24"/>
        </w:rPr>
      </w:pPr>
      <w:r>
        <w:rPr>
          <w:sz w:val="24"/>
        </w:rPr>
        <w:t xml:space="preserve">If a student will be graduating under the </w:t>
      </w:r>
      <w:r>
        <w:rPr>
          <w:b/>
          <w:sz w:val="24"/>
        </w:rPr>
        <w:t xml:space="preserve">old </w:t>
      </w:r>
      <w:r>
        <w:rPr>
          <w:sz w:val="24"/>
        </w:rPr>
        <w:t>curriculum and has not taken the old 4-credit CE 3362 Structural Analysis, the student may instead take the new 3-credit CE 3362 Structural</w:t>
      </w:r>
      <w:r>
        <w:rPr>
          <w:spacing w:val="-1"/>
          <w:sz w:val="24"/>
        </w:rPr>
        <w:t xml:space="preserve"> </w:t>
      </w:r>
      <w:r>
        <w:rPr>
          <w:sz w:val="24"/>
        </w:rPr>
        <w:t>Analysis.</w:t>
      </w:r>
    </w:p>
    <w:p w14:paraId="4C0CFB83" w14:textId="77777777" w:rsidR="001014A7" w:rsidRDefault="001014A7">
      <w:pPr>
        <w:pStyle w:val="BodyText"/>
        <w:rPr>
          <w:sz w:val="26"/>
        </w:rPr>
      </w:pPr>
    </w:p>
    <w:p w14:paraId="2919AACE" w14:textId="77777777" w:rsidR="001014A7" w:rsidRDefault="001014A7">
      <w:pPr>
        <w:pStyle w:val="BodyText"/>
        <w:rPr>
          <w:sz w:val="26"/>
        </w:rPr>
      </w:pPr>
    </w:p>
    <w:p w14:paraId="58BA6EFC" w14:textId="77777777" w:rsidR="001014A7" w:rsidRDefault="001014A7">
      <w:pPr>
        <w:pStyle w:val="BodyText"/>
        <w:spacing w:before="5"/>
        <w:rPr>
          <w:sz w:val="20"/>
        </w:rPr>
      </w:pPr>
    </w:p>
    <w:p w14:paraId="0340A4B3" w14:textId="77777777" w:rsidR="001014A7" w:rsidRDefault="00D423B9">
      <w:pPr>
        <w:ind w:left="140"/>
        <w:rPr>
          <w:b/>
          <w:sz w:val="24"/>
        </w:rPr>
      </w:pPr>
      <w:r>
        <w:rPr>
          <w:b/>
          <w:sz w:val="24"/>
        </w:rPr>
        <w:t>A copy of this memorandum must be placed in the student’s file.</w:t>
      </w:r>
    </w:p>
    <w:sectPr w:rsidR="001014A7">
      <w:type w:val="continuous"/>
      <w:pgSz w:w="12240" w:h="15840"/>
      <w:pgMar w:top="9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16600"/>
    <w:multiLevelType w:val="hybridMultilevel"/>
    <w:tmpl w:val="DAB024DE"/>
    <w:lvl w:ilvl="0" w:tplc="BABE954A">
      <w:start w:val="1"/>
      <w:numFmt w:val="decimal"/>
      <w:lvlText w:val="%1.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en-US"/>
      </w:rPr>
    </w:lvl>
    <w:lvl w:ilvl="1" w:tplc="B240B512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en-US"/>
      </w:rPr>
    </w:lvl>
    <w:lvl w:ilvl="2" w:tplc="1AFA37E0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en-US"/>
      </w:rPr>
    </w:lvl>
    <w:lvl w:ilvl="3" w:tplc="FEE09790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en-US"/>
      </w:rPr>
    </w:lvl>
    <w:lvl w:ilvl="4" w:tplc="0BF63618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en-US"/>
      </w:rPr>
    </w:lvl>
    <w:lvl w:ilvl="5" w:tplc="8B44339E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en-US"/>
      </w:rPr>
    </w:lvl>
    <w:lvl w:ilvl="6" w:tplc="89D8C29E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en-US"/>
      </w:rPr>
    </w:lvl>
    <w:lvl w:ilvl="7" w:tplc="AE8CC19A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en-US"/>
      </w:rPr>
    </w:lvl>
    <w:lvl w:ilvl="8" w:tplc="CE7CFA62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29B70D8"/>
    <w:multiLevelType w:val="hybridMultilevel"/>
    <w:tmpl w:val="B6C651AC"/>
    <w:lvl w:ilvl="0" w:tplc="973C569E">
      <w:start w:val="1"/>
      <w:numFmt w:val="decimal"/>
      <w:lvlText w:val="%1.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1" w:tplc="5220FC34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en-US"/>
      </w:rPr>
    </w:lvl>
    <w:lvl w:ilvl="2" w:tplc="F0E87C06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en-US"/>
      </w:rPr>
    </w:lvl>
    <w:lvl w:ilvl="3" w:tplc="805497E6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en-US"/>
      </w:rPr>
    </w:lvl>
    <w:lvl w:ilvl="4" w:tplc="F80C90B0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en-US"/>
      </w:rPr>
    </w:lvl>
    <w:lvl w:ilvl="5" w:tplc="2FD8C1AE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en-US"/>
      </w:rPr>
    </w:lvl>
    <w:lvl w:ilvl="6" w:tplc="DD0A61BE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en-US"/>
      </w:rPr>
    </w:lvl>
    <w:lvl w:ilvl="7" w:tplc="4704B996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en-US"/>
      </w:rPr>
    </w:lvl>
    <w:lvl w:ilvl="8" w:tplc="40848DC4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A7"/>
    <w:rsid w:val="001014A7"/>
    <w:rsid w:val="00D4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AEA5F"/>
  <w15:docId w15:val="{A9BB2DC9-8D4B-4D25-88D3-39530832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65"/>
      <w:ind w:left="1655" w:right="1655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new Electrical Engineering Curriculum was recently approved by the Faculty Senate (see attachment)</dc:title>
  <dc:creator>College of Engineering</dc:creator>
  <cp:lastModifiedBy>Administrator</cp:lastModifiedBy>
  <cp:revision>3</cp:revision>
  <dcterms:created xsi:type="dcterms:W3CDTF">2023-07-14T18:43:00Z</dcterms:created>
  <dcterms:modified xsi:type="dcterms:W3CDTF">2023-07-14T18:43:00Z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2023-07-14T00:00:00Z</vt:filetime>
  </property>
</Properties>
</file>