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0845" w14:textId="77777777" w:rsidR="00024643" w:rsidRDefault="0091141D">
      <w:pPr>
        <w:pStyle w:val="BodyText"/>
        <w:ind w:left="70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C5AC837" wp14:editId="6805EE86">
            <wp:extent cx="6677324" cy="1547812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324" cy="154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F578" w14:textId="77777777" w:rsidR="00024643" w:rsidRDefault="0091141D">
      <w:pPr>
        <w:spacing w:before="43"/>
        <w:ind w:left="2384" w:right="2374"/>
        <w:jc w:val="center"/>
        <w:rPr>
          <w:b/>
          <w:sz w:val="36"/>
        </w:rPr>
      </w:pPr>
      <w:r>
        <w:rPr>
          <w:b/>
          <w:color w:val="EF6D1F"/>
          <w:sz w:val="36"/>
        </w:rPr>
        <w:t>Lean Six Sigma Green Belt Certification</w:t>
      </w:r>
    </w:p>
    <w:p w14:paraId="5B53AB1F" w14:textId="77777777" w:rsidR="00024643" w:rsidRDefault="00024643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8529"/>
      </w:tblGrid>
      <w:tr w:rsidR="00024643" w14:paraId="7818DF51" w14:textId="77777777">
        <w:trPr>
          <w:trHeight w:val="7052"/>
        </w:trPr>
        <w:tc>
          <w:tcPr>
            <w:tcW w:w="3159" w:type="dxa"/>
          </w:tcPr>
          <w:p w14:paraId="33D8BCBF" w14:textId="77777777" w:rsidR="00024643" w:rsidRDefault="0002464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CCDC83A" w14:textId="77777777" w:rsidR="00024643" w:rsidRDefault="0091141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79951C" wp14:editId="469C7A66">
                  <wp:extent cx="1690747" cy="1847850"/>
                  <wp:effectExtent l="0" t="0" r="0" b="0"/>
                  <wp:docPr id="3" name="image2.jpe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747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70E92" w14:textId="77777777" w:rsidR="00024643" w:rsidRDefault="0002464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146C50A" w14:textId="77777777" w:rsidR="00024643" w:rsidRDefault="0091141D">
            <w:pPr>
              <w:pStyle w:val="TableParagraph"/>
              <w:ind w:left="20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“Our goal is to be the best temperature sensor manufacturer in the world and Lean</w:t>
            </w:r>
          </w:p>
          <w:p w14:paraId="7301EDD7" w14:textId="77777777" w:rsidR="00024643" w:rsidRDefault="0091141D">
            <w:pPr>
              <w:pStyle w:val="TableParagraph"/>
              <w:spacing w:before="2"/>
              <w:ind w:left="200" w:right="3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Six-Sigma is what the best companies in the world are doing. We’ll keep doing it and</w:t>
            </w:r>
          </w:p>
          <w:p w14:paraId="2C0E4FD0" w14:textId="77777777" w:rsidR="00024643" w:rsidRDefault="0091141D">
            <w:pPr>
              <w:pStyle w:val="TableParagraph"/>
              <w:spacing w:before="2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getting better; it’s a</w:t>
            </w:r>
          </w:p>
          <w:p w14:paraId="3C189808" w14:textId="77777777" w:rsidR="00024643" w:rsidRDefault="0091141D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never-ending journey”</w:t>
            </w:r>
          </w:p>
          <w:p w14:paraId="168D50F6" w14:textId="77777777" w:rsidR="00024643" w:rsidRDefault="0091141D">
            <w:pPr>
              <w:pStyle w:val="TableParagraph"/>
              <w:spacing w:before="4" w:line="220" w:lineRule="atLeast"/>
              <w:ind w:left="200" w:right="1210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Brandon Coleman Director of Engineering QTI Sensing Solutions</w:t>
            </w:r>
          </w:p>
        </w:tc>
        <w:tc>
          <w:tcPr>
            <w:tcW w:w="8529" w:type="dxa"/>
          </w:tcPr>
          <w:p w14:paraId="4667AFFA" w14:textId="77777777" w:rsidR="00024643" w:rsidRDefault="0091141D">
            <w:pPr>
              <w:pStyle w:val="TableParagraph"/>
              <w:spacing w:line="276" w:lineRule="auto"/>
              <w:ind w:left="147" w:right="198"/>
              <w:jc w:val="both"/>
              <w:rPr>
                <w:sz w:val="20"/>
              </w:rPr>
            </w:pPr>
            <w:r>
              <w:rPr>
                <w:sz w:val="20"/>
              </w:rPr>
              <w:t>Lean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(LSS)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well-known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excellence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does more than simply improve processes. LSS combines the process improvement benefits of Lean with the statistical process control (SPC) benefits of Six Sigma. It takes advantage of the “value-added” focus of Lean whi</w:t>
            </w:r>
            <w:r>
              <w:rPr>
                <w:sz w:val="20"/>
              </w:rPr>
              <w:t>le maintaining the statistical rigors of Six Sigma. The course series includes four full-day training sessions with two weeks between sessions for participants to complete project work that is an essential part of the LSSGB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12D6F605" w14:textId="77777777" w:rsidR="00024643" w:rsidRDefault="00024643">
            <w:pPr>
              <w:pStyle w:val="TableParagraph"/>
              <w:spacing w:before="9"/>
              <w:ind w:left="0"/>
              <w:rPr>
                <w:b/>
              </w:rPr>
            </w:pPr>
          </w:p>
          <w:p w14:paraId="5BA8DC61" w14:textId="77777777" w:rsidR="00024643" w:rsidRDefault="0091141D">
            <w:pPr>
              <w:pStyle w:val="TableParagraph"/>
              <w:ind w:left="147"/>
              <w:jc w:val="both"/>
              <w:rPr>
                <w:b/>
                <w:sz w:val="28"/>
              </w:rPr>
            </w:pPr>
            <w:r>
              <w:rPr>
                <w:b/>
                <w:color w:val="EF6D1F"/>
                <w:sz w:val="28"/>
              </w:rPr>
              <w:t>About the Course</w:t>
            </w:r>
          </w:p>
          <w:p w14:paraId="781B68C6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  <w:tab w:val="left" w:pos="868"/>
              </w:tabs>
              <w:spacing w:before="52" w:line="278" w:lineRule="auto"/>
              <w:ind w:right="214"/>
              <w:rPr>
                <w:sz w:val="20"/>
              </w:rPr>
            </w:pPr>
            <w:r>
              <w:rPr>
                <w:sz w:val="20"/>
              </w:rPr>
              <w:t>Participants learn the principles of Lean Manufacturing and Six Sigma using the DMAIC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14:paraId="4E8F7794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  <w:tab w:val="left" w:pos="868"/>
              </w:tabs>
              <w:spacing w:line="278" w:lineRule="auto"/>
              <w:ind w:right="218"/>
              <w:rPr>
                <w:sz w:val="20"/>
              </w:rPr>
            </w:pPr>
            <w:r>
              <w:rPr>
                <w:sz w:val="20"/>
              </w:rPr>
              <w:t>Experienced Lean Six Sigma practitioners teach the classes and support participants in their 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14:paraId="70EB4826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  <w:tab w:val="left" w:pos="868"/>
              </w:tabs>
              <w:rPr>
                <w:sz w:val="20"/>
              </w:rPr>
            </w:pPr>
            <w:r>
              <w:rPr>
                <w:sz w:val="20"/>
              </w:rPr>
              <w:t>Course material, simulations, and exercises are releva</w:t>
            </w:r>
            <w:r>
              <w:rPr>
                <w:sz w:val="20"/>
              </w:rPr>
              <w:t>nt to the regional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organizatios</w:t>
            </w:r>
            <w:proofErr w:type="spellEnd"/>
            <w:r>
              <w:rPr>
                <w:sz w:val="20"/>
              </w:rPr>
              <w:t>.</w:t>
            </w:r>
          </w:p>
          <w:p w14:paraId="0D3BBC6A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  <w:tab w:val="left" w:pos="868"/>
              </w:tabs>
              <w:spacing w:before="29" w:line="278" w:lineRule="auto"/>
              <w:ind w:right="217"/>
              <w:rPr>
                <w:sz w:val="20"/>
              </w:rPr>
            </w:pPr>
            <w:r>
              <w:rPr>
                <w:sz w:val="20"/>
              </w:rPr>
              <w:t>LSS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  <w:p w14:paraId="47B7E37B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  <w:tab w:val="left" w:pos="868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Successful participants receive a completion certificate from Idaho State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749ECFA1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  <w:tab w:val="left" w:pos="868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Class size of 15 - 20 (max) ensures quality class time and project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supervision.</w:t>
            </w:r>
          </w:p>
          <w:p w14:paraId="0B904D8D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34" w:line="276" w:lineRule="auto"/>
              <w:ind w:right="207"/>
              <w:jc w:val="both"/>
              <w:rPr>
                <w:sz w:val="20"/>
              </w:rPr>
            </w:pPr>
            <w:r>
              <w:rPr>
                <w:sz w:val="20"/>
              </w:rPr>
              <w:t>Course Fee: $1250 /person covers all sessions, training materials, project support, venues</w:t>
            </w:r>
            <w:r>
              <w:rPr>
                <w:sz w:val="20"/>
              </w:rPr>
              <w:t xml:space="preserve"> &amp; food. There is a 10% discount for </w:t>
            </w:r>
            <w:r>
              <w:rPr>
                <w:spacing w:val="-2"/>
                <w:sz w:val="20"/>
              </w:rPr>
              <w:t xml:space="preserve">two </w:t>
            </w:r>
            <w:r>
              <w:rPr>
                <w:sz w:val="20"/>
              </w:rPr>
              <w:t>or more people registering from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same company. ASQ members will receive a 10%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discount.</w:t>
            </w:r>
          </w:p>
          <w:p w14:paraId="39FBC9A7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2" w:line="273" w:lineRule="auto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Registration: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16"/>
                <w:sz w:val="20"/>
              </w:rPr>
              <w:t xml:space="preserve"> </w:t>
            </w:r>
            <w:hyperlink r:id="rId7">
              <w:r>
                <w:rPr>
                  <w:color w:val="006FC0"/>
                  <w:sz w:val="20"/>
                </w:rPr>
                <w:t>http://isu.edu/cob/business-resources/leansixsigma/</w:t>
              </w:r>
              <w:r>
                <w:rPr>
                  <w:color w:val="006FC0"/>
                  <w:spacing w:val="-1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 our upcoming course.</w:t>
            </w:r>
          </w:p>
          <w:p w14:paraId="0B73E4B0" w14:textId="77777777" w:rsidR="00024643" w:rsidRDefault="0091141D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5" w:line="273" w:lineRule="auto"/>
              <w:ind w:right="1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Dave O’Connell at </w:t>
            </w:r>
            <w:hyperlink r:id="rId8">
              <w:r>
                <w:rPr>
                  <w:b/>
                  <w:sz w:val="20"/>
                </w:rPr>
                <w:t>DaveOConnell@isu.edu</w:t>
              </w:r>
            </w:hyperlink>
            <w:r>
              <w:rPr>
                <w:b/>
                <w:sz w:val="20"/>
              </w:rPr>
              <w:t xml:space="preserve"> or 2</w:t>
            </w:r>
            <w:r>
              <w:rPr>
                <w:b/>
                <w:sz w:val="20"/>
              </w:rPr>
              <w:t>08.589.5567 for more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information.</w:t>
            </w:r>
          </w:p>
        </w:tc>
      </w:tr>
    </w:tbl>
    <w:p w14:paraId="6D3C2D25" w14:textId="77777777" w:rsidR="00024643" w:rsidRDefault="00024643">
      <w:pPr>
        <w:pStyle w:val="BodyText"/>
        <w:rPr>
          <w:b/>
        </w:rPr>
      </w:pPr>
    </w:p>
    <w:p w14:paraId="389CD50F" w14:textId="77777777" w:rsidR="00024643" w:rsidRDefault="0091141D">
      <w:pPr>
        <w:pStyle w:val="BodyText"/>
        <w:spacing w:before="4"/>
        <w:rPr>
          <w:b/>
        </w:rPr>
      </w:pPr>
      <w:r>
        <w:rPr>
          <w:noProof/>
        </w:rPr>
        <w:drawing>
          <wp:inline distT="0" distB="0" distL="0" distR="0" wp14:anchorId="4F1664EE" wp14:editId="66584DA3">
            <wp:extent cx="4935217" cy="2781300"/>
            <wp:effectExtent l="0" t="0" r="0" b="0"/>
            <wp:docPr id="5" name="image3.png" descr="The LSSGB Workshop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The LSSGB Workshop Time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17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7A96" w14:textId="77777777" w:rsidR="00024643" w:rsidRDefault="00024643">
      <w:pPr>
        <w:sectPr w:rsidR="00024643">
          <w:type w:val="continuous"/>
          <w:pgSz w:w="12240" w:h="15840"/>
          <w:pgMar w:top="0" w:right="180" w:bottom="280" w:left="160" w:header="720" w:footer="720" w:gutter="0"/>
          <w:cols w:space="720"/>
        </w:sectPr>
      </w:pPr>
    </w:p>
    <w:p w14:paraId="54B9BA09" w14:textId="77777777" w:rsidR="00024643" w:rsidRDefault="0091141D">
      <w:pPr>
        <w:pStyle w:val="Heading1"/>
        <w:spacing w:before="85"/>
        <w:ind w:left="2384" w:right="2117"/>
        <w:jc w:val="center"/>
      </w:pPr>
      <w:r>
        <w:rPr>
          <w:color w:val="EF6D1F"/>
        </w:rPr>
        <w:lastRenderedPageBreak/>
        <w:t>Lean Six Sigma Green Belt Curriculum</w:t>
      </w:r>
    </w:p>
    <w:p w14:paraId="7422DAAF" w14:textId="77777777" w:rsidR="00024643" w:rsidRDefault="00024643">
      <w:pPr>
        <w:pStyle w:val="BodyText"/>
        <w:spacing w:before="4"/>
        <w:rPr>
          <w:b/>
          <w:sz w:val="16"/>
        </w:rPr>
      </w:pPr>
    </w:p>
    <w:p w14:paraId="782C6F98" w14:textId="77777777" w:rsidR="00024643" w:rsidRDefault="00024643">
      <w:pPr>
        <w:rPr>
          <w:sz w:val="16"/>
        </w:rPr>
        <w:sectPr w:rsidR="00024643">
          <w:pgSz w:w="12240" w:h="15840"/>
          <w:pgMar w:top="900" w:right="180" w:bottom="280" w:left="160" w:header="720" w:footer="720" w:gutter="0"/>
          <w:cols w:space="720"/>
        </w:sectPr>
      </w:pPr>
    </w:p>
    <w:p w14:paraId="5BC21C85" w14:textId="77777777" w:rsidR="00024643" w:rsidRDefault="00024643">
      <w:pPr>
        <w:pStyle w:val="BodyText"/>
        <w:rPr>
          <w:b/>
          <w:sz w:val="18"/>
        </w:rPr>
      </w:pPr>
    </w:p>
    <w:p w14:paraId="40CCEF5C" w14:textId="77777777" w:rsidR="00024643" w:rsidRDefault="00024643">
      <w:pPr>
        <w:pStyle w:val="BodyText"/>
        <w:rPr>
          <w:b/>
          <w:sz w:val="18"/>
        </w:rPr>
      </w:pPr>
    </w:p>
    <w:p w14:paraId="11077C7C" w14:textId="77777777" w:rsidR="00024643" w:rsidRDefault="00024643">
      <w:pPr>
        <w:pStyle w:val="BodyText"/>
        <w:rPr>
          <w:b/>
          <w:sz w:val="18"/>
        </w:rPr>
      </w:pPr>
    </w:p>
    <w:p w14:paraId="673F4F47" w14:textId="77777777" w:rsidR="00024643" w:rsidRDefault="00024643">
      <w:pPr>
        <w:pStyle w:val="BodyText"/>
        <w:rPr>
          <w:b/>
          <w:sz w:val="18"/>
        </w:rPr>
      </w:pPr>
    </w:p>
    <w:p w14:paraId="02D13369" w14:textId="77777777" w:rsidR="00024643" w:rsidRDefault="00024643">
      <w:pPr>
        <w:pStyle w:val="BodyText"/>
        <w:rPr>
          <w:b/>
          <w:sz w:val="18"/>
        </w:rPr>
      </w:pPr>
    </w:p>
    <w:p w14:paraId="2EADE3BD" w14:textId="77777777" w:rsidR="00024643" w:rsidRDefault="00024643">
      <w:pPr>
        <w:pStyle w:val="BodyText"/>
        <w:rPr>
          <w:b/>
          <w:sz w:val="18"/>
        </w:rPr>
      </w:pPr>
    </w:p>
    <w:p w14:paraId="6006A406" w14:textId="77777777" w:rsidR="00024643" w:rsidRDefault="00024643">
      <w:pPr>
        <w:pStyle w:val="BodyText"/>
        <w:rPr>
          <w:b/>
          <w:sz w:val="18"/>
        </w:rPr>
      </w:pPr>
    </w:p>
    <w:p w14:paraId="79CF6D44" w14:textId="77777777" w:rsidR="00024643" w:rsidRDefault="00024643">
      <w:pPr>
        <w:pStyle w:val="BodyText"/>
        <w:rPr>
          <w:b/>
          <w:sz w:val="18"/>
        </w:rPr>
      </w:pPr>
    </w:p>
    <w:p w14:paraId="259FC9E8" w14:textId="77777777" w:rsidR="00024643" w:rsidRDefault="00024643">
      <w:pPr>
        <w:pStyle w:val="BodyText"/>
        <w:rPr>
          <w:b/>
          <w:sz w:val="18"/>
        </w:rPr>
      </w:pPr>
    </w:p>
    <w:p w14:paraId="7E119B06" w14:textId="77777777" w:rsidR="00024643" w:rsidRDefault="00024643">
      <w:pPr>
        <w:pStyle w:val="BodyText"/>
        <w:rPr>
          <w:b/>
          <w:sz w:val="18"/>
        </w:rPr>
      </w:pPr>
    </w:p>
    <w:p w14:paraId="04753BE8" w14:textId="77777777" w:rsidR="00024643" w:rsidRDefault="00024643">
      <w:pPr>
        <w:pStyle w:val="BodyText"/>
        <w:rPr>
          <w:b/>
          <w:sz w:val="18"/>
        </w:rPr>
      </w:pPr>
    </w:p>
    <w:p w14:paraId="2087D72D" w14:textId="77777777" w:rsidR="00024643" w:rsidRDefault="00024643">
      <w:pPr>
        <w:pStyle w:val="BodyText"/>
        <w:rPr>
          <w:b/>
          <w:sz w:val="18"/>
        </w:rPr>
      </w:pPr>
    </w:p>
    <w:p w14:paraId="16568D0D" w14:textId="77777777" w:rsidR="00024643" w:rsidRDefault="00024643">
      <w:pPr>
        <w:pStyle w:val="BodyText"/>
        <w:rPr>
          <w:b/>
          <w:sz w:val="18"/>
        </w:rPr>
      </w:pPr>
    </w:p>
    <w:p w14:paraId="116DEBF0" w14:textId="77777777" w:rsidR="00024643" w:rsidRDefault="00024643">
      <w:pPr>
        <w:pStyle w:val="BodyText"/>
        <w:rPr>
          <w:b/>
          <w:sz w:val="18"/>
        </w:rPr>
      </w:pPr>
    </w:p>
    <w:p w14:paraId="41012337" w14:textId="77777777" w:rsidR="00024643" w:rsidRDefault="00024643">
      <w:pPr>
        <w:pStyle w:val="BodyText"/>
        <w:spacing w:before="11"/>
        <w:rPr>
          <w:b/>
          <w:sz w:val="25"/>
        </w:rPr>
      </w:pPr>
    </w:p>
    <w:p w14:paraId="63B0C454" w14:textId="77777777" w:rsidR="00024643" w:rsidRDefault="0091141D">
      <w:pPr>
        <w:spacing w:line="276" w:lineRule="auto"/>
        <w:ind w:left="310" w:right="476"/>
        <w:rPr>
          <w:rFonts w:ascii="Calibri" w:hAnsi="Calibri"/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CC147BE" wp14:editId="6CAA466B">
            <wp:simplePos x="0" y="0"/>
            <wp:positionH relativeFrom="page">
              <wp:posOffset>298450</wp:posOffset>
            </wp:positionH>
            <wp:positionV relativeFrom="paragraph">
              <wp:posOffset>-1915676</wp:posOffset>
            </wp:positionV>
            <wp:extent cx="1809750" cy="1892300"/>
            <wp:effectExtent l="0" t="0" r="0" b="0"/>
            <wp:wrapNone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</w:rPr>
        <w:t>Dave O’Connell of Idaho State University leads a LSSGB session during a public workshop.</w:t>
      </w:r>
    </w:p>
    <w:p w14:paraId="0F68B212" w14:textId="77777777" w:rsidR="00024643" w:rsidRDefault="00024643">
      <w:pPr>
        <w:pStyle w:val="BodyText"/>
        <w:spacing w:before="11"/>
        <w:rPr>
          <w:rFonts w:ascii="Calibri"/>
          <w:sz w:val="17"/>
        </w:rPr>
      </w:pPr>
    </w:p>
    <w:p w14:paraId="3E841110" w14:textId="35BF86E8" w:rsidR="00024643" w:rsidRDefault="0091141D">
      <w:pPr>
        <w:ind w:left="325"/>
        <w:rPr>
          <w:b/>
        </w:rPr>
      </w:pPr>
      <w:r>
        <w:rPr>
          <w:b/>
        </w:rPr>
        <w:t>Our LSS Support Partners</w:t>
      </w:r>
      <w:r>
        <w:rPr>
          <w:noProof/>
        </w:rPr>
        <w:drawing>
          <wp:inline distT="0" distB="0" distL="0" distR="0" wp14:anchorId="4660B5EA" wp14:editId="072FBAFC">
            <wp:extent cx="1758721" cy="413592"/>
            <wp:effectExtent l="0" t="0" r="0" b="5715"/>
            <wp:docPr id="9" name="image5.jpeg" descr="America's SBDC Idaho Business Accel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America's SBDC Idaho Business Accelerato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21" cy="4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FB7CF" wp14:editId="085B5060">
            <wp:extent cx="1513839" cy="337185"/>
            <wp:effectExtent l="0" t="0" r="0" b="5715"/>
            <wp:docPr id="11" name="image6.jpeg" descr="Tech Help - Idaho Manufacturing Specia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Tech Help - Idaho Manufacturing Specialist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39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73412" wp14:editId="1C855C73">
            <wp:extent cx="1581150" cy="3528440"/>
            <wp:effectExtent l="0" t="0" r="0" b="0"/>
            <wp:docPr id="13" name="image7.jpeg" descr="Tech Help is a partnership of:&#10;Boise State University&#10;Idaho State University&#10;University of Idaho&#10;EDA University Center&#10;MEP National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Tech Help is a partnership of:&#10;Boise State University&#10;Idaho State University&#10;University of Idaho&#10;EDA University Center&#10;MEP National Network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5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F7950" w14:textId="77777777" w:rsidR="00024643" w:rsidRDefault="0091141D">
      <w:pPr>
        <w:pStyle w:val="ListParagraph"/>
        <w:numPr>
          <w:ilvl w:val="0"/>
          <w:numId w:val="1"/>
        </w:numPr>
        <w:tabs>
          <w:tab w:val="left" w:pos="937"/>
        </w:tabs>
        <w:spacing w:before="100" w:line="276" w:lineRule="auto"/>
        <w:ind w:left="936" w:right="311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LSSGB Day 1 Class Session</w:t>
      </w:r>
      <w:r>
        <w:rPr>
          <w:sz w:val="20"/>
        </w:rPr>
        <w:t>: “Define” Phase - Introduction to Lean, Six Sigma &amp; Lean Six Sigma concepts. How to kick off your project with ef</w:t>
      </w:r>
      <w:r>
        <w:rPr>
          <w:sz w:val="20"/>
        </w:rPr>
        <w:t>fective Problem Statements, a SIPOC map, Voice of the Customer, Charters, and data collection</w:t>
      </w:r>
      <w:r>
        <w:rPr>
          <w:spacing w:val="-41"/>
          <w:sz w:val="20"/>
        </w:rPr>
        <w:t xml:space="preserve"> </w:t>
      </w:r>
      <w:r>
        <w:rPr>
          <w:sz w:val="20"/>
        </w:rPr>
        <w:t>tips.</w:t>
      </w:r>
    </w:p>
    <w:p w14:paraId="7A2DDE7B" w14:textId="77777777" w:rsidR="00024643" w:rsidRDefault="0091141D">
      <w:pPr>
        <w:pStyle w:val="ListParagraph"/>
        <w:numPr>
          <w:ilvl w:val="0"/>
          <w:numId w:val="1"/>
        </w:numPr>
        <w:tabs>
          <w:tab w:val="left" w:pos="937"/>
        </w:tabs>
        <w:spacing w:line="276" w:lineRule="auto"/>
        <w:ind w:left="936" w:right="308"/>
        <w:rPr>
          <w:sz w:val="20"/>
        </w:rPr>
      </w:pPr>
      <w:r>
        <w:rPr>
          <w:b/>
          <w:sz w:val="20"/>
        </w:rPr>
        <w:t>LSSGB Day 2 Class Session</w:t>
      </w:r>
      <w:r>
        <w:rPr>
          <w:sz w:val="20"/>
        </w:rPr>
        <w:t xml:space="preserve">: “Measure” Phase - How to measure process performance and determine two important aspects of </w:t>
      </w:r>
      <w:r>
        <w:rPr>
          <w:spacing w:val="-3"/>
          <w:sz w:val="20"/>
        </w:rPr>
        <w:t xml:space="preserve">any </w:t>
      </w:r>
      <w:r>
        <w:rPr>
          <w:sz w:val="20"/>
        </w:rPr>
        <w:t>process, capability, and stability. An introduction to Standard Deviation, using histograms with upper and lower spec limits, using Control Charts, and unders</w:t>
      </w:r>
      <w:r>
        <w:rPr>
          <w:sz w:val="20"/>
        </w:rPr>
        <w:t>tand Common vs Special cause variation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process.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course</w:t>
      </w:r>
      <w:r>
        <w:rPr>
          <w:spacing w:val="-15"/>
          <w:sz w:val="20"/>
        </w:rPr>
        <w:t xml:space="preserve"> </w:t>
      </w:r>
      <w:r>
        <w:rPr>
          <w:sz w:val="20"/>
        </w:rPr>
        <w:t>uses</w:t>
      </w:r>
      <w:r>
        <w:rPr>
          <w:spacing w:val="-15"/>
          <w:sz w:val="20"/>
        </w:rPr>
        <w:t xml:space="preserve"> </w:t>
      </w:r>
      <w:r>
        <w:rPr>
          <w:sz w:val="20"/>
        </w:rPr>
        <w:t>QI</w:t>
      </w:r>
      <w:r>
        <w:rPr>
          <w:spacing w:val="-15"/>
          <w:sz w:val="20"/>
        </w:rPr>
        <w:t xml:space="preserve"> </w:t>
      </w:r>
      <w:r>
        <w:rPr>
          <w:sz w:val="20"/>
        </w:rPr>
        <w:t>macros</w:t>
      </w:r>
      <w:r>
        <w:rPr>
          <w:spacing w:val="-14"/>
          <w:sz w:val="20"/>
        </w:rPr>
        <w:t xml:space="preserve"> </w:t>
      </w:r>
      <w:r>
        <w:rPr>
          <w:sz w:val="20"/>
        </w:rPr>
        <w:t>software</w:t>
      </w:r>
      <w:r>
        <w:rPr>
          <w:spacing w:val="-15"/>
          <w:sz w:val="20"/>
        </w:rPr>
        <w:t xml:space="preserve"> </w:t>
      </w:r>
      <w:r>
        <w:rPr>
          <w:sz w:val="20"/>
        </w:rPr>
        <w:t>(an</w:t>
      </w:r>
      <w:r>
        <w:rPr>
          <w:spacing w:val="-16"/>
          <w:sz w:val="20"/>
        </w:rPr>
        <w:t xml:space="preserve"> </w:t>
      </w:r>
      <w:r>
        <w:rPr>
          <w:sz w:val="20"/>
        </w:rPr>
        <w:t>Excel</w:t>
      </w:r>
      <w:r>
        <w:rPr>
          <w:spacing w:val="-16"/>
          <w:sz w:val="20"/>
        </w:rPr>
        <w:t xml:space="preserve"> </w:t>
      </w:r>
      <w:r>
        <w:rPr>
          <w:sz w:val="20"/>
        </w:rPr>
        <w:t>add-on)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make this all</w:t>
      </w:r>
      <w:r>
        <w:rPr>
          <w:spacing w:val="2"/>
          <w:sz w:val="20"/>
        </w:rPr>
        <w:t xml:space="preserve"> </w:t>
      </w:r>
      <w:r>
        <w:rPr>
          <w:sz w:val="20"/>
        </w:rPr>
        <w:t>easy.</w:t>
      </w:r>
    </w:p>
    <w:p w14:paraId="4CBD0E97" w14:textId="77777777" w:rsidR="00024643" w:rsidRDefault="0091141D">
      <w:pPr>
        <w:pStyle w:val="ListParagraph"/>
        <w:numPr>
          <w:ilvl w:val="0"/>
          <w:numId w:val="1"/>
        </w:numPr>
        <w:tabs>
          <w:tab w:val="left" w:pos="937"/>
        </w:tabs>
        <w:spacing w:line="276" w:lineRule="auto"/>
        <w:ind w:left="936"/>
        <w:rPr>
          <w:sz w:val="20"/>
        </w:rPr>
      </w:pPr>
      <w:r>
        <w:rPr>
          <w:b/>
          <w:sz w:val="20"/>
        </w:rPr>
        <w:t>LSSGB Day 3 Class Session</w:t>
      </w:r>
      <w:r>
        <w:rPr>
          <w:sz w:val="20"/>
        </w:rPr>
        <w:t>: “Analyze” Phase - Discuss problem-solving and root cause analysis experience and give feedback and a</w:t>
      </w:r>
      <w:r>
        <w:rPr>
          <w:sz w:val="20"/>
        </w:rPr>
        <w:t>dvice on alternative methods. Discuss</w:t>
      </w:r>
      <w:r>
        <w:rPr>
          <w:spacing w:val="-6"/>
          <w:sz w:val="20"/>
        </w:rPr>
        <w:t xml:space="preserve"> </w:t>
      </w:r>
      <w:r>
        <w:rPr>
          <w:sz w:val="20"/>
        </w:rPr>
        <w:t>common</w:t>
      </w:r>
      <w:r>
        <w:rPr>
          <w:spacing w:val="-7"/>
          <w:sz w:val="20"/>
        </w:rPr>
        <w:t xml:space="preserve"> </w:t>
      </w:r>
      <w:r>
        <w:rPr>
          <w:sz w:val="20"/>
        </w:rPr>
        <w:t>problems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often</w:t>
      </w:r>
      <w:r>
        <w:rPr>
          <w:spacing w:val="-8"/>
          <w:sz w:val="20"/>
        </w:rPr>
        <w:t xml:space="preserve"> </w:t>
      </w:r>
      <w:r>
        <w:rPr>
          <w:sz w:val="20"/>
        </w:rPr>
        <w:t>encountered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collecting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analyzing data,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methods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avoid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minimize</w:t>
      </w:r>
      <w:r>
        <w:rPr>
          <w:spacing w:val="-17"/>
          <w:sz w:val="20"/>
        </w:rPr>
        <w:t xml:space="preserve"> </w:t>
      </w:r>
      <w:r>
        <w:rPr>
          <w:sz w:val="20"/>
        </w:rPr>
        <w:t>these</w:t>
      </w:r>
      <w:r>
        <w:rPr>
          <w:spacing w:val="-12"/>
          <w:sz w:val="20"/>
        </w:rPr>
        <w:t xml:space="preserve"> </w:t>
      </w:r>
      <w:r>
        <w:rPr>
          <w:sz w:val="20"/>
        </w:rPr>
        <w:t>problems.</w:t>
      </w:r>
      <w:r>
        <w:rPr>
          <w:spacing w:val="-12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basic statistical analysis tools, scatter plots and hypothesis testing, and in-class exercises to practice using these tools on sample</w:t>
      </w:r>
      <w:r>
        <w:rPr>
          <w:spacing w:val="7"/>
          <w:sz w:val="20"/>
        </w:rPr>
        <w:t xml:space="preserve"> </w:t>
      </w:r>
      <w:r>
        <w:rPr>
          <w:sz w:val="20"/>
        </w:rPr>
        <w:t>data.</w:t>
      </w:r>
    </w:p>
    <w:p w14:paraId="0BE5A514" w14:textId="3FA8A594" w:rsidR="00024643" w:rsidRDefault="0091141D">
      <w:pPr>
        <w:pStyle w:val="ListParagraph"/>
        <w:numPr>
          <w:ilvl w:val="0"/>
          <w:numId w:val="1"/>
        </w:numPr>
        <w:tabs>
          <w:tab w:val="left" w:pos="937"/>
        </w:tabs>
        <w:spacing w:before="2" w:line="276" w:lineRule="auto"/>
        <w:ind w:left="936" w:right="307"/>
        <w:rPr>
          <w:sz w:val="20"/>
        </w:rPr>
      </w:pPr>
      <w:r>
        <w:rPr>
          <w:b/>
          <w:sz w:val="20"/>
        </w:rPr>
        <w:t>LSSGB Day 4 Session</w:t>
      </w:r>
      <w:r>
        <w:rPr>
          <w:sz w:val="20"/>
        </w:rPr>
        <w:t xml:space="preserve">: “Improve/Control” Phase - </w:t>
      </w:r>
      <w:r>
        <w:rPr>
          <w:spacing w:val="-4"/>
          <w:sz w:val="20"/>
        </w:rPr>
        <w:t xml:space="preserve">How </w:t>
      </w:r>
      <w:r>
        <w:rPr>
          <w:sz w:val="20"/>
        </w:rPr>
        <w:t>to plan and implement 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5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(Kaizen).</w:t>
      </w:r>
      <w:r>
        <w:rPr>
          <w:spacing w:val="-4"/>
          <w:sz w:val="20"/>
        </w:rPr>
        <w:t xml:space="preserve"> </w:t>
      </w:r>
      <w:r>
        <w:rPr>
          <w:sz w:val="20"/>
        </w:rPr>
        <w:t>Revisit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Lean,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Lean tools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5S,</w:t>
      </w:r>
      <w:r>
        <w:rPr>
          <w:spacing w:val="-6"/>
          <w:sz w:val="20"/>
        </w:rPr>
        <w:t xml:space="preserve"> </w:t>
      </w:r>
      <w:r>
        <w:rPr>
          <w:sz w:val="20"/>
        </w:rPr>
        <w:t>Visual</w:t>
      </w:r>
      <w:r>
        <w:rPr>
          <w:spacing w:val="-7"/>
          <w:sz w:val="20"/>
        </w:rPr>
        <w:t xml:space="preserve"> </w:t>
      </w:r>
      <w:r>
        <w:rPr>
          <w:sz w:val="20"/>
        </w:rPr>
        <w:t>Workplace,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Work,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Kanbans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Bin</w:t>
      </w:r>
      <w:r>
        <w:rPr>
          <w:spacing w:val="-8"/>
          <w:sz w:val="20"/>
        </w:rPr>
        <w:t xml:space="preserve"> </w:t>
      </w:r>
      <w:r>
        <w:rPr>
          <w:sz w:val="20"/>
        </w:rPr>
        <w:t>Systems,</w:t>
      </w:r>
      <w:r>
        <w:rPr>
          <w:spacing w:val="-6"/>
          <w:sz w:val="20"/>
        </w:rPr>
        <w:t xml:space="preserve"> </w:t>
      </w:r>
      <w:r>
        <w:rPr>
          <w:sz w:val="20"/>
        </w:rPr>
        <w:t>Quality at the Source, and Mistake Proofing. How to sustain the improvements made with effective Leadership practices and statistical tools</w:t>
      </w:r>
      <w:r>
        <w:rPr>
          <w:sz w:val="20"/>
        </w:rPr>
        <w:t>. How Teams work. Students will present where they are at on their project and their next steps to complete their project.</w:t>
      </w:r>
      <w:r>
        <w:rPr>
          <w:spacing w:val="28"/>
          <w:sz w:val="20"/>
        </w:rPr>
        <w:t xml:space="preserve"> </w:t>
      </w:r>
      <w:r>
        <w:rPr>
          <w:sz w:val="20"/>
        </w:rPr>
        <w:t>Finally,</w:t>
      </w:r>
      <w:r>
        <w:rPr>
          <w:spacing w:val="-16"/>
          <w:sz w:val="20"/>
        </w:rPr>
        <w:t xml:space="preserve"> </w:t>
      </w:r>
      <w:r>
        <w:rPr>
          <w:sz w:val="20"/>
        </w:rPr>
        <w:t>there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course</w:t>
      </w:r>
      <w:r>
        <w:rPr>
          <w:spacing w:val="-17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then</w:t>
      </w:r>
      <w:r>
        <w:rPr>
          <w:spacing w:val="-14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provided for completed class &amp; project</w:t>
      </w:r>
      <w:r>
        <w:rPr>
          <w:spacing w:val="3"/>
          <w:sz w:val="20"/>
        </w:rPr>
        <w:t xml:space="preserve"> </w:t>
      </w:r>
      <w:r>
        <w:rPr>
          <w:sz w:val="20"/>
        </w:rPr>
        <w:t>work.</w:t>
      </w:r>
    </w:p>
    <w:p w14:paraId="03FAAB2A" w14:textId="77777777" w:rsidR="00024643" w:rsidRDefault="00024643">
      <w:pPr>
        <w:pStyle w:val="BodyText"/>
        <w:spacing w:before="4"/>
        <w:rPr>
          <w:sz w:val="27"/>
        </w:rPr>
      </w:pPr>
    </w:p>
    <w:p w14:paraId="428514E4" w14:textId="77777777" w:rsidR="00024643" w:rsidRDefault="0091141D">
      <w:pPr>
        <w:pStyle w:val="Heading1"/>
      </w:pPr>
      <w:r>
        <w:rPr>
          <w:color w:val="EF6D1F"/>
        </w:rPr>
        <w:t>ROI for Individual and or Company</w:t>
      </w:r>
    </w:p>
    <w:p w14:paraId="067F563C" w14:textId="1F790094" w:rsidR="00024643" w:rsidRDefault="0091141D">
      <w:pPr>
        <w:pStyle w:val="BodyText"/>
        <w:spacing w:before="2"/>
        <w:ind w:left="216" w:right="398"/>
      </w:pPr>
      <w:r>
        <w:t>Real-world project work is a vital part of the LSSGB program. Listed below are some typical improvements generated by LSS projects.</w:t>
      </w:r>
    </w:p>
    <w:p w14:paraId="5E1BE262" w14:textId="7C398E6E" w:rsidR="00024643" w:rsidRDefault="0091141D">
      <w:pPr>
        <w:sectPr w:rsidR="00024643">
          <w:type w:val="continuous"/>
          <w:pgSz w:w="12240" w:h="15840"/>
          <w:pgMar w:top="0" w:right="180" w:bottom="280" w:left="160" w:header="720" w:footer="720" w:gutter="0"/>
          <w:cols w:num="2" w:space="720" w:equalWidth="0">
            <w:col w:w="3160" w:space="40"/>
            <w:col w:w="8700"/>
          </w:cols>
        </w:sectPr>
      </w:pPr>
      <w:r>
        <w:rPr>
          <w:noProof/>
        </w:rPr>
        <w:drawing>
          <wp:inline distT="0" distB="0" distL="0" distR="0" wp14:anchorId="471A17EF" wp14:editId="70D392F5">
            <wp:extent cx="5149526" cy="2279650"/>
            <wp:effectExtent l="0" t="0" r="0" b="6350"/>
            <wp:docPr id="15" name="image8.png" descr="Improvements Achieved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 descr="Improvements Achieved Bar Graph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354" cy="228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B858" w14:textId="77777777" w:rsidR="00024643" w:rsidRDefault="00024643">
      <w:pPr>
        <w:pStyle w:val="BodyText"/>
      </w:pPr>
    </w:p>
    <w:p w14:paraId="2554F3A5" w14:textId="77777777" w:rsidR="00024643" w:rsidRDefault="00024643">
      <w:pPr>
        <w:pStyle w:val="BodyText"/>
      </w:pPr>
    </w:p>
    <w:p w14:paraId="4713B52B" w14:textId="77777777" w:rsidR="00024643" w:rsidRDefault="00024643">
      <w:pPr>
        <w:pStyle w:val="BodyText"/>
      </w:pPr>
    </w:p>
    <w:p w14:paraId="5A19FD40" w14:textId="77777777" w:rsidR="00024643" w:rsidRDefault="00024643">
      <w:pPr>
        <w:pStyle w:val="BodyText"/>
      </w:pPr>
    </w:p>
    <w:p w14:paraId="321556CB" w14:textId="77777777" w:rsidR="00024643" w:rsidRDefault="00024643">
      <w:pPr>
        <w:pStyle w:val="BodyText"/>
      </w:pPr>
    </w:p>
    <w:p w14:paraId="77AF7BB7" w14:textId="77777777" w:rsidR="00024643" w:rsidRDefault="00024643">
      <w:pPr>
        <w:pStyle w:val="BodyText"/>
      </w:pPr>
    </w:p>
    <w:p w14:paraId="222A10BF" w14:textId="77777777" w:rsidR="00024643" w:rsidRDefault="00024643">
      <w:pPr>
        <w:pStyle w:val="BodyText"/>
      </w:pPr>
    </w:p>
    <w:p w14:paraId="42D12D34" w14:textId="77777777" w:rsidR="00024643" w:rsidRDefault="00024643">
      <w:pPr>
        <w:pStyle w:val="BodyText"/>
      </w:pPr>
    </w:p>
    <w:p w14:paraId="6DBFF81C" w14:textId="77777777" w:rsidR="00024643" w:rsidRDefault="00024643">
      <w:pPr>
        <w:pStyle w:val="BodyText"/>
      </w:pPr>
    </w:p>
    <w:p w14:paraId="789E2A4D" w14:textId="77777777" w:rsidR="00024643" w:rsidRDefault="00024643">
      <w:pPr>
        <w:pStyle w:val="BodyText"/>
      </w:pPr>
    </w:p>
    <w:p w14:paraId="66C9CDF9" w14:textId="77777777" w:rsidR="00024643" w:rsidRDefault="00024643">
      <w:pPr>
        <w:pStyle w:val="BodyText"/>
      </w:pPr>
    </w:p>
    <w:p w14:paraId="66EFA8FD" w14:textId="77777777" w:rsidR="00024643" w:rsidRDefault="00024643">
      <w:pPr>
        <w:pStyle w:val="BodyText"/>
      </w:pPr>
    </w:p>
    <w:p w14:paraId="1332E275" w14:textId="77777777" w:rsidR="00024643" w:rsidRDefault="00024643">
      <w:pPr>
        <w:pStyle w:val="BodyText"/>
      </w:pPr>
    </w:p>
    <w:p w14:paraId="22264F3D" w14:textId="77777777" w:rsidR="00024643" w:rsidRDefault="00024643">
      <w:pPr>
        <w:pStyle w:val="BodyText"/>
      </w:pPr>
    </w:p>
    <w:p w14:paraId="32BA9B7F" w14:textId="77777777" w:rsidR="00024643" w:rsidRDefault="00024643">
      <w:pPr>
        <w:pStyle w:val="BodyText"/>
      </w:pPr>
    </w:p>
    <w:p w14:paraId="3BEC23CA" w14:textId="77777777" w:rsidR="00024643" w:rsidRDefault="00024643">
      <w:pPr>
        <w:pStyle w:val="BodyText"/>
      </w:pPr>
    </w:p>
    <w:p w14:paraId="6D25CF40" w14:textId="77777777" w:rsidR="00024643" w:rsidRDefault="00024643">
      <w:pPr>
        <w:pStyle w:val="BodyText"/>
      </w:pPr>
    </w:p>
    <w:p w14:paraId="5E8CC668" w14:textId="77777777" w:rsidR="00024643" w:rsidRDefault="00024643">
      <w:pPr>
        <w:pStyle w:val="BodyText"/>
      </w:pPr>
    </w:p>
    <w:p w14:paraId="59A45CDF" w14:textId="77777777" w:rsidR="00024643" w:rsidRDefault="00024643">
      <w:pPr>
        <w:pStyle w:val="BodyText"/>
      </w:pPr>
    </w:p>
    <w:p w14:paraId="118BAFBB" w14:textId="77777777" w:rsidR="00024643" w:rsidRDefault="00024643">
      <w:pPr>
        <w:pStyle w:val="BodyText"/>
      </w:pPr>
    </w:p>
    <w:p w14:paraId="36E14ECF" w14:textId="77777777" w:rsidR="00024643" w:rsidRDefault="00024643">
      <w:pPr>
        <w:pStyle w:val="BodyText"/>
      </w:pPr>
    </w:p>
    <w:p w14:paraId="7C9925AD" w14:textId="77777777" w:rsidR="00024643" w:rsidRDefault="00024643">
      <w:pPr>
        <w:pStyle w:val="BodyText"/>
        <w:spacing w:before="1"/>
        <w:rPr>
          <w:sz w:val="14"/>
        </w:rPr>
      </w:pPr>
    </w:p>
    <w:p w14:paraId="1A474CD2" w14:textId="2A0C30EA" w:rsidR="00024643" w:rsidRDefault="0091141D">
      <w:pPr>
        <w:pStyle w:val="BodyText"/>
        <w:spacing w:line="20" w:lineRule="exact"/>
        <w:ind w:left="3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90854B" wp14:editId="03C61C84">
                <wp:extent cx="7289800" cy="12700"/>
                <wp:effectExtent l="0" t="0" r="9525" b="635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0" cy="12700"/>
                          <a:chOff x="0" y="0"/>
                          <a:chExt cx="11480" cy="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" y="10"/>
                            <a:ext cx="41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57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77" y="10"/>
                            <a:ext cx="7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7808B" id="Group 2" o:spid="_x0000_s1026" alt="&quot;&quot;" style="width:574pt;height:1pt;mso-position-horizontal-relative:char;mso-position-vertical-relative:line" coordsize="11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">
                <v:rect id="Rectangle 6" o:spid="_x0000_s1027" style="position:absolute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5" o:spid="_x0000_s1028" style="position:absolute;visibility:visible;mso-wrap-style:square" from="20,10" to="4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rect id="Rectangle 4" o:spid="_x0000_s1029" style="position:absolute;left:41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0" style="position:absolute;visibility:visible;mso-wrap-style:square" from="4177,10" to="11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sectPr w:rsidR="00024643">
      <w:type w:val="continuous"/>
      <w:pgSz w:w="12240" w:h="15840"/>
      <w:pgMar w:top="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2B3"/>
    <w:multiLevelType w:val="hybridMultilevel"/>
    <w:tmpl w:val="EB662860"/>
    <w:lvl w:ilvl="0" w:tplc="5DE21002">
      <w:numFmt w:val="bullet"/>
      <w:lvlText w:val="●"/>
      <w:lvlJc w:val="left"/>
      <w:pPr>
        <w:ind w:left="868" w:hanging="361"/>
      </w:pPr>
      <w:rPr>
        <w:rFonts w:ascii="Tahoma" w:eastAsia="Tahoma" w:hAnsi="Tahoma" w:cs="Tahoma" w:hint="default"/>
        <w:spacing w:val="-22"/>
        <w:w w:val="100"/>
        <w:sz w:val="20"/>
        <w:szCs w:val="20"/>
        <w:lang w:val="en-US" w:eastAsia="en-US" w:bidi="en-US"/>
      </w:rPr>
    </w:lvl>
    <w:lvl w:ilvl="1" w:tplc="5B4E1418">
      <w:numFmt w:val="bullet"/>
      <w:lvlText w:val="•"/>
      <w:lvlJc w:val="left"/>
      <w:pPr>
        <w:ind w:left="1626" w:hanging="361"/>
      </w:pPr>
      <w:rPr>
        <w:rFonts w:hint="default"/>
        <w:lang w:val="en-US" w:eastAsia="en-US" w:bidi="en-US"/>
      </w:rPr>
    </w:lvl>
    <w:lvl w:ilvl="2" w:tplc="36BE902E">
      <w:numFmt w:val="bullet"/>
      <w:lvlText w:val="•"/>
      <w:lvlJc w:val="left"/>
      <w:pPr>
        <w:ind w:left="2393" w:hanging="361"/>
      </w:pPr>
      <w:rPr>
        <w:rFonts w:hint="default"/>
        <w:lang w:val="en-US" w:eastAsia="en-US" w:bidi="en-US"/>
      </w:rPr>
    </w:lvl>
    <w:lvl w:ilvl="3" w:tplc="B5D4225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en-US"/>
      </w:rPr>
    </w:lvl>
    <w:lvl w:ilvl="4" w:tplc="C4602C46">
      <w:numFmt w:val="bullet"/>
      <w:lvlText w:val="•"/>
      <w:lvlJc w:val="left"/>
      <w:pPr>
        <w:ind w:left="3927" w:hanging="361"/>
      </w:pPr>
      <w:rPr>
        <w:rFonts w:hint="default"/>
        <w:lang w:val="en-US" w:eastAsia="en-US" w:bidi="en-US"/>
      </w:rPr>
    </w:lvl>
    <w:lvl w:ilvl="5" w:tplc="F8126D34">
      <w:numFmt w:val="bullet"/>
      <w:lvlText w:val="•"/>
      <w:lvlJc w:val="left"/>
      <w:pPr>
        <w:ind w:left="4694" w:hanging="361"/>
      </w:pPr>
      <w:rPr>
        <w:rFonts w:hint="default"/>
        <w:lang w:val="en-US" w:eastAsia="en-US" w:bidi="en-US"/>
      </w:rPr>
    </w:lvl>
    <w:lvl w:ilvl="6" w:tplc="C480ED08">
      <w:numFmt w:val="bullet"/>
      <w:lvlText w:val="•"/>
      <w:lvlJc w:val="left"/>
      <w:pPr>
        <w:ind w:left="5461" w:hanging="361"/>
      </w:pPr>
      <w:rPr>
        <w:rFonts w:hint="default"/>
        <w:lang w:val="en-US" w:eastAsia="en-US" w:bidi="en-US"/>
      </w:rPr>
    </w:lvl>
    <w:lvl w:ilvl="7" w:tplc="FAAC5064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en-US"/>
      </w:rPr>
    </w:lvl>
    <w:lvl w:ilvl="8" w:tplc="649AD260">
      <w:numFmt w:val="bullet"/>
      <w:lvlText w:val="•"/>
      <w:lvlJc w:val="left"/>
      <w:pPr>
        <w:ind w:left="699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E7F04CC"/>
    <w:multiLevelType w:val="hybridMultilevel"/>
    <w:tmpl w:val="81ECA048"/>
    <w:lvl w:ilvl="0" w:tplc="90D8302E">
      <w:numFmt w:val="bullet"/>
      <w:lvlText w:val="●"/>
      <w:lvlJc w:val="left"/>
      <w:pPr>
        <w:ind w:left="937" w:hanging="361"/>
      </w:pPr>
      <w:rPr>
        <w:rFonts w:ascii="Tahoma" w:eastAsia="Tahoma" w:hAnsi="Tahoma" w:cs="Tahoma" w:hint="default"/>
        <w:spacing w:val="-11"/>
        <w:w w:val="100"/>
        <w:sz w:val="20"/>
        <w:szCs w:val="20"/>
        <w:lang w:val="en-US" w:eastAsia="en-US" w:bidi="en-US"/>
      </w:rPr>
    </w:lvl>
    <w:lvl w:ilvl="1" w:tplc="B8564070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9B86E0C0">
      <w:numFmt w:val="bullet"/>
      <w:lvlText w:val="•"/>
      <w:lvlJc w:val="left"/>
      <w:pPr>
        <w:ind w:left="2492" w:hanging="361"/>
      </w:pPr>
      <w:rPr>
        <w:rFonts w:hint="default"/>
        <w:lang w:val="en-US" w:eastAsia="en-US" w:bidi="en-US"/>
      </w:rPr>
    </w:lvl>
    <w:lvl w:ilvl="3" w:tplc="A4E0B3FA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en-US"/>
      </w:rPr>
    </w:lvl>
    <w:lvl w:ilvl="4" w:tplc="002E46BA">
      <w:numFmt w:val="bullet"/>
      <w:lvlText w:val="•"/>
      <w:lvlJc w:val="left"/>
      <w:pPr>
        <w:ind w:left="4044" w:hanging="361"/>
      </w:pPr>
      <w:rPr>
        <w:rFonts w:hint="default"/>
        <w:lang w:val="en-US" w:eastAsia="en-US" w:bidi="en-US"/>
      </w:rPr>
    </w:lvl>
    <w:lvl w:ilvl="5" w:tplc="AE9AE5E0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en-US"/>
      </w:rPr>
    </w:lvl>
    <w:lvl w:ilvl="6" w:tplc="512C6108">
      <w:numFmt w:val="bullet"/>
      <w:lvlText w:val="•"/>
      <w:lvlJc w:val="left"/>
      <w:pPr>
        <w:ind w:left="5596" w:hanging="361"/>
      </w:pPr>
      <w:rPr>
        <w:rFonts w:hint="default"/>
        <w:lang w:val="en-US" w:eastAsia="en-US" w:bidi="en-US"/>
      </w:rPr>
    </w:lvl>
    <w:lvl w:ilvl="7" w:tplc="D8A259D0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en-US"/>
      </w:rPr>
    </w:lvl>
    <w:lvl w:ilvl="8" w:tplc="DE7E4D26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43"/>
    <w:rsid w:val="00024643"/>
    <w:rsid w:val="009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74E0"/>
  <w15:docId w15:val="{F100B86B-88DF-4FD7-9C36-68DBC0B3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6" w:right="30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OConnell@isu.ed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isu.edu/cob/business-resources/leansixsigma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ocondavi</dc:creator>
  <cp:lastModifiedBy>Administrator</cp:lastModifiedBy>
  <cp:revision>2</cp:revision>
  <dcterms:created xsi:type="dcterms:W3CDTF">2023-10-16T17:31:00Z</dcterms:created>
  <dcterms:modified xsi:type="dcterms:W3CDTF">2023-10-16T17:37:00Z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2023-10-16T00:00:00Z</vt:filetime>
  </property>
</Properties>
</file>